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TO BE INCLUDED IN STATEMENTS PURSUANT TO RULES 13d-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1(b),(c) AND (d) AND AMENDMENTS THERETO FILED PURSUANT TO 13d-2</w:t>
      </w: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43"/>
          <w:szCs w:val="43"/>
          <w:u w:val="single" w:color="auto"/>
          <w:color w:val="auto"/>
        </w:rPr>
        <w:t>PepGen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Common stock, $0.0001 par value per share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713317105</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1" w:lineRule="exact"/>
        <w:rPr>
          <w:rFonts w:ascii="MS PGothic" w:cs="MS PGothic" w:eastAsia="MS PGothic" w:hAnsi="MS PGothic"/>
          <w:sz w:val="22"/>
          <w:szCs w:val="22"/>
          <w:color w:val="auto"/>
        </w:rPr>
      </w:pPr>
    </w:p>
    <w:p>
      <w:pPr>
        <w:ind w:left="5140" w:hanging="240"/>
        <w:spacing w:after="0"/>
        <w:tabs>
          <w:tab w:leader="none" w:pos="5140" w:val="left"/>
        </w:tabs>
        <w:numPr>
          <w:ilvl w:val="2"/>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3" w:lineRule="exact"/>
        <w:rPr>
          <w:rFonts w:ascii="MS PGothic" w:cs="MS PGothic" w:eastAsia="MS PGothic" w:hAnsi="MS PGothic"/>
          <w:sz w:val="22"/>
          <w:szCs w:val="22"/>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15" w:lineRule="exact"/>
        <w:rPr>
          <w:rFonts w:ascii="MS PGothic" w:cs="MS PGothic" w:eastAsia="MS PGothic" w:hAnsi="MS PGothic"/>
          <w:sz w:val="22"/>
          <w:szCs w:val="22"/>
          <w:color w:val="auto"/>
        </w:rPr>
      </w:pPr>
    </w:p>
    <w:p>
      <w:pPr>
        <w:jc w:val="both"/>
        <w:spacing w:after="0"/>
        <w:rPr>
          <w:rFonts w:ascii="MS PGothic" w:cs="MS PGothic" w:eastAsia="MS PGothic" w:hAnsi="MS PGothic"/>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ind w:right="40"/>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03"/>
        </w:trPr>
        <w:tc>
          <w:tcPr>
            <w:tcW w:w="2260" w:type="dxa"/>
            <w:vAlign w:val="bottom"/>
            <w:tcBorders>
              <w:top w:val="single" w:sz="8" w:color="auto"/>
              <w:left w:val="single" w:sz="8" w:color="auto"/>
            </w:tcBorders>
            <w:gridSpan w:val="3"/>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2340" w:type="dxa"/>
            <w:vAlign w:val="bottom"/>
            <w:tcBorders>
              <w:top w:val="single" w:sz="8" w:color="auto"/>
            </w:tcBorders>
          </w:tcPr>
          <w:p>
            <w:pPr>
              <w:spacing w:after="0"/>
              <w:rPr>
                <w:sz w:val="17"/>
                <w:szCs w:val="17"/>
                <w:color w:val="auto"/>
              </w:rPr>
            </w:pPr>
          </w:p>
        </w:tc>
        <w:tc>
          <w:tcPr>
            <w:tcW w:w="2180" w:type="dxa"/>
            <w:vAlign w:val="bottom"/>
            <w:tcBorders>
              <w:top w:val="single" w:sz="8" w:color="auto"/>
              <w:right w:val="single" w:sz="8" w:color="auto"/>
            </w:tcBorders>
            <w:gridSpan w:val="5"/>
          </w:tcPr>
          <w:p>
            <w:pPr>
              <w:ind w:left="720"/>
              <w:spacing w:after="0" w:line="202" w:lineRule="exact"/>
              <w:rPr>
                <w:sz w:val="20"/>
                <w:szCs w:val="20"/>
                <w:color w:val="auto"/>
              </w:rPr>
            </w:pPr>
            <w:r>
              <w:rPr>
                <w:rFonts w:ascii="Arial" w:cs="Arial" w:eastAsia="Arial" w:hAnsi="Arial"/>
                <w:sz w:val="18"/>
                <w:szCs w:val="18"/>
                <w:b w:val="1"/>
                <w:bCs w:val="1"/>
                <w:color w:val="auto"/>
                <w:w w:val="87"/>
              </w:rPr>
              <w:t>Page 2 of 17 Pages</w:t>
            </w:r>
          </w:p>
        </w:tc>
        <w:tc>
          <w:tcPr>
            <w:tcW w:w="0" w:type="dxa"/>
            <w:vAlign w:val="bottom"/>
          </w:tcPr>
          <w:p>
            <w:pPr>
              <w:spacing w:after="0"/>
              <w:rPr>
                <w:sz w:val="1"/>
                <w:szCs w:val="1"/>
                <w:color w:val="auto"/>
              </w:rPr>
            </w:pPr>
          </w:p>
        </w:tc>
      </w:tr>
      <w:tr>
        <w:trPr>
          <w:trHeight w:val="28"/>
        </w:trPr>
        <w:tc>
          <w:tcPr>
            <w:tcW w:w="140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80" w:type="dxa"/>
            <w:vAlign w:val="bottom"/>
            <w:gridSpan w:val="7"/>
          </w:tcPr>
          <w:p>
            <w:pPr>
              <w:ind w:left="40"/>
              <w:spacing w:after="0"/>
              <w:rPr>
                <w:sz w:val="20"/>
                <w:szCs w:val="20"/>
                <w:color w:val="auto"/>
              </w:rPr>
            </w:pPr>
            <w:r>
              <w:rPr>
                <w:rFonts w:ascii="Arial" w:cs="Arial" w:eastAsia="Arial" w:hAnsi="Arial"/>
                <w:sz w:val="18"/>
                <w:szCs w:val="18"/>
                <w:color w:val="auto"/>
              </w:rPr>
              <w:t>Viking Global Investors LP</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820" w:type="dxa"/>
            <w:vAlign w:val="bottom"/>
            <w:tcBorders>
              <w:right w:val="single" w:sz="8" w:color="BFBFBF"/>
            </w:tcBorders>
            <w:shd w:val="clear" w:color="auto" w:fill="BFBFBF"/>
          </w:tcPr>
          <w:p>
            <w:pPr>
              <w:spacing w:after="0"/>
              <w:rPr>
                <w:sz w:val="20"/>
                <w:szCs w:val="20"/>
                <w:color w:val="auto"/>
              </w:rPr>
            </w:pPr>
          </w:p>
        </w:tc>
        <w:tc>
          <w:tcPr>
            <w:tcW w:w="2200" w:type="dxa"/>
            <w:vAlign w:val="bottom"/>
            <w:tcBorders>
              <w:right w:val="single" w:sz="8" w:color="BFBFBF"/>
            </w:tcBorders>
            <w:shd w:val="clear" w:color="auto" w:fill="BFBFBF"/>
          </w:tcPr>
          <w:p>
            <w:pPr>
              <w:spacing w:after="0"/>
              <w:rPr>
                <w:sz w:val="20"/>
                <w:szCs w:val="20"/>
                <w:color w:val="auto"/>
              </w:rPr>
            </w:pPr>
          </w:p>
        </w:tc>
        <w:tc>
          <w:tcPr>
            <w:tcW w:w="2340" w:type="dxa"/>
            <w:vAlign w:val="bottom"/>
            <w:shd w:val="clear" w:color="auto" w:fill="BFBFBF"/>
          </w:tcPr>
          <w:p>
            <w:pPr>
              <w:spacing w:after="0"/>
              <w:rPr>
                <w:sz w:val="20"/>
                <w:szCs w:val="20"/>
                <w:color w:val="auto"/>
              </w:rPr>
            </w:pPr>
          </w:p>
        </w:tc>
        <w:tc>
          <w:tcPr>
            <w:tcW w:w="1140" w:type="dxa"/>
            <w:vAlign w:val="bottom"/>
            <w:shd w:val="clear" w:color="auto" w:fill="BFBFBF"/>
          </w:tcPr>
          <w:p>
            <w:pPr>
              <w:spacing w:after="0"/>
              <w:rPr>
                <w:sz w:val="20"/>
                <w:szCs w:val="20"/>
                <w:color w:val="auto"/>
              </w:rPr>
            </w:pPr>
          </w:p>
        </w:tc>
        <w:tc>
          <w:tcPr>
            <w:tcW w:w="80" w:type="dxa"/>
            <w:vAlign w:val="bottom"/>
            <w:shd w:val="clear" w:color="auto" w:fill="BFBFBF"/>
          </w:tcPr>
          <w:p>
            <w:pPr>
              <w:spacing w:after="0"/>
              <w:rPr>
                <w:sz w:val="20"/>
                <w:szCs w:val="20"/>
                <w:color w:val="auto"/>
              </w:rPr>
            </w:pPr>
          </w:p>
        </w:tc>
        <w:tc>
          <w:tcPr>
            <w:tcW w:w="240" w:type="dxa"/>
            <w:vAlign w:val="bottom"/>
            <w:shd w:val="clear" w:color="auto" w:fill="BFBFBF"/>
          </w:tcPr>
          <w:p>
            <w:pPr>
              <w:spacing w:after="0"/>
              <w:rPr>
                <w:sz w:val="20"/>
                <w:szCs w:val="20"/>
                <w:color w:val="auto"/>
              </w:rPr>
            </w:pPr>
          </w:p>
        </w:tc>
        <w:tc>
          <w:tcPr>
            <w:tcW w:w="180" w:type="dxa"/>
            <w:vAlign w:val="bottom"/>
            <w:shd w:val="clear" w:color="auto" w:fill="BFBFBF"/>
          </w:tcPr>
          <w:p>
            <w:pPr>
              <w:spacing w:after="0"/>
              <w:rPr>
                <w:sz w:val="20"/>
                <w:szCs w:val="20"/>
                <w:color w:val="auto"/>
              </w:rPr>
            </w:pPr>
          </w:p>
        </w:tc>
        <w:tc>
          <w:tcPr>
            <w:tcW w:w="5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820" w:type="dxa"/>
            <w:vAlign w:val="bottom"/>
            <w:tcBorders>
              <w:right w:val="single" w:sz="8" w:color="BFBFBF"/>
            </w:tcBorders>
            <w:shd w:val="clear" w:color="auto" w:fill="BFBFBF"/>
          </w:tcPr>
          <w:p>
            <w:pPr>
              <w:spacing w:after="0"/>
              <w:rPr>
                <w:sz w:val="24"/>
                <w:szCs w:val="24"/>
                <w:color w:val="auto"/>
              </w:rPr>
            </w:pPr>
          </w:p>
        </w:tc>
        <w:tc>
          <w:tcPr>
            <w:tcW w:w="2200" w:type="dxa"/>
            <w:vAlign w:val="bottom"/>
            <w:tcBorders>
              <w:right w:val="single" w:sz="8" w:color="BFBFBF"/>
            </w:tcBorders>
            <w:shd w:val="clear" w:color="auto" w:fill="BFBFBF"/>
          </w:tcPr>
          <w:p>
            <w:pPr>
              <w:spacing w:after="0"/>
              <w:rPr>
                <w:sz w:val="24"/>
                <w:szCs w:val="24"/>
                <w:color w:val="auto"/>
              </w:rPr>
            </w:pPr>
          </w:p>
        </w:tc>
        <w:tc>
          <w:tcPr>
            <w:tcW w:w="234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1140" w:type="dxa"/>
            <w:vAlign w:val="bottom"/>
            <w:tcBorders>
              <w:bottom w:val="single" w:sz="8" w:color="auto"/>
            </w:tcBorders>
            <w:shd w:val="clear" w:color="auto" w:fill="BFBFBF"/>
          </w:tcPr>
          <w:p>
            <w:pPr>
              <w:spacing w:after="0"/>
              <w:rPr>
                <w:sz w:val="23"/>
                <w:szCs w:val="23"/>
                <w:color w:val="auto"/>
              </w:rPr>
            </w:pPr>
          </w:p>
        </w:tc>
        <w:tc>
          <w:tcPr>
            <w:tcW w:w="8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SOLE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636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DISPOSITIVE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1,793,923*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520" w:type="dxa"/>
            <w:vAlign w:val="bottom"/>
            <w:tcBorders>
              <w:bottom w:val="single" w:sz="8" w:color="auto"/>
            </w:tcBorders>
            <w:gridSpan w:val="5"/>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12"/>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02"/>
        </w:trPr>
        <w:tc>
          <w:tcPr>
            <w:tcW w:w="2260" w:type="dxa"/>
            <w:vAlign w:val="bottom"/>
            <w:tcBorders>
              <w:top w:val="single" w:sz="8" w:color="auto"/>
              <w:left w:val="single" w:sz="8" w:color="auto"/>
            </w:tcBorders>
            <w:gridSpan w:val="3"/>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2340" w:type="dxa"/>
            <w:vAlign w:val="bottom"/>
            <w:tcBorders>
              <w:top w:val="single" w:sz="8" w:color="auto"/>
            </w:tcBorders>
          </w:tcPr>
          <w:p>
            <w:pPr>
              <w:spacing w:after="0"/>
              <w:rPr>
                <w:sz w:val="17"/>
                <w:szCs w:val="17"/>
                <w:color w:val="auto"/>
              </w:rPr>
            </w:pPr>
          </w:p>
        </w:tc>
        <w:tc>
          <w:tcPr>
            <w:tcW w:w="2180" w:type="dxa"/>
            <w:vAlign w:val="bottom"/>
            <w:tcBorders>
              <w:top w:val="single" w:sz="8" w:color="auto"/>
              <w:right w:val="single" w:sz="8" w:color="auto"/>
            </w:tcBorders>
            <w:gridSpan w:val="5"/>
          </w:tcPr>
          <w:p>
            <w:pPr>
              <w:ind w:left="720"/>
              <w:spacing w:after="0" w:line="202" w:lineRule="exact"/>
              <w:rPr>
                <w:sz w:val="20"/>
                <w:szCs w:val="20"/>
                <w:color w:val="auto"/>
              </w:rPr>
            </w:pPr>
            <w:r>
              <w:rPr>
                <w:rFonts w:ascii="Arial" w:cs="Arial" w:eastAsia="Arial" w:hAnsi="Arial"/>
                <w:sz w:val="18"/>
                <w:szCs w:val="18"/>
                <w:b w:val="1"/>
                <w:bCs w:val="1"/>
                <w:color w:val="auto"/>
                <w:w w:val="87"/>
              </w:rPr>
              <w:t>Page 3 of 17 Pages</w:t>
            </w:r>
          </w:p>
        </w:tc>
        <w:tc>
          <w:tcPr>
            <w:tcW w:w="0" w:type="dxa"/>
            <w:vAlign w:val="bottom"/>
          </w:tcPr>
          <w:p>
            <w:pPr>
              <w:spacing w:after="0"/>
              <w:rPr>
                <w:sz w:val="1"/>
                <w:szCs w:val="1"/>
                <w:color w:val="auto"/>
              </w:rPr>
            </w:pPr>
          </w:p>
        </w:tc>
      </w:tr>
      <w:tr>
        <w:trPr>
          <w:trHeight w:val="28"/>
        </w:trPr>
        <w:tc>
          <w:tcPr>
            <w:tcW w:w="140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80" w:type="dxa"/>
            <w:vAlign w:val="bottom"/>
            <w:gridSpan w:val="7"/>
          </w:tcPr>
          <w:p>
            <w:pPr>
              <w:ind w:left="40"/>
              <w:spacing w:after="0"/>
              <w:rPr>
                <w:sz w:val="20"/>
                <w:szCs w:val="20"/>
                <w:color w:val="auto"/>
              </w:rPr>
            </w:pPr>
            <w:r>
              <w:rPr>
                <w:rFonts w:ascii="Arial" w:cs="Arial" w:eastAsia="Arial" w:hAnsi="Arial"/>
                <w:sz w:val="18"/>
                <w:szCs w:val="18"/>
                <w:color w:val="auto"/>
              </w:rPr>
              <w:t>Viking Global Opportunities Parent GP LLC</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820" w:type="dxa"/>
            <w:vAlign w:val="bottom"/>
            <w:tcBorders>
              <w:right w:val="single" w:sz="8" w:color="BFBFBF"/>
            </w:tcBorders>
            <w:shd w:val="clear" w:color="auto" w:fill="BFBFBF"/>
          </w:tcPr>
          <w:p>
            <w:pPr>
              <w:spacing w:after="0"/>
              <w:rPr>
                <w:sz w:val="20"/>
                <w:szCs w:val="20"/>
                <w:color w:val="auto"/>
              </w:rPr>
            </w:pPr>
          </w:p>
        </w:tc>
        <w:tc>
          <w:tcPr>
            <w:tcW w:w="2200" w:type="dxa"/>
            <w:vAlign w:val="bottom"/>
            <w:tcBorders>
              <w:right w:val="single" w:sz="8" w:color="BFBFBF"/>
            </w:tcBorders>
            <w:shd w:val="clear" w:color="auto" w:fill="BFBFBF"/>
          </w:tcPr>
          <w:p>
            <w:pPr>
              <w:spacing w:after="0"/>
              <w:rPr>
                <w:sz w:val="20"/>
                <w:szCs w:val="20"/>
                <w:color w:val="auto"/>
              </w:rPr>
            </w:pPr>
          </w:p>
        </w:tc>
        <w:tc>
          <w:tcPr>
            <w:tcW w:w="2340" w:type="dxa"/>
            <w:vAlign w:val="bottom"/>
            <w:shd w:val="clear" w:color="auto" w:fill="BFBFBF"/>
          </w:tcPr>
          <w:p>
            <w:pPr>
              <w:spacing w:after="0"/>
              <w:rPr>
                <w:sz w:val="20"/>
                <w:szCs w:val="20"/>
                <w:color w:val="auto"/>
              </w:rPr>
            </w:pPr>
          </w:p>
        </w:tc>
        <w:tc>
          <w:tcPr>
            <w:tcW w:w="1140" w:type="dxa"/>
            <w:vAlign w:val="bottom"/>
            <w:shd w:val="clear" w:color="auto" w:fill="BFBFBF"/>
          </w:tcPr>
          <w:p>
            <w:pPr>
              <w:spacing w:after="0"/>
              <w:rPr>
                <w:sz w:val="20"/>
                <w:szCs w:val="20"/>
                <w:color w:val="auto"/>
              </w:rPr>
            </w:pPr>
          </w:p>
        </w:tc>
        <w:tc>
          <w:tcPr>
            <w:tcW w:w="80" w:type="dxa"/>
            <w:vAlign w:val="bottom"/>
            <w:shd w:val="clear" w:color="auto" w:fill="BFBFBF"/>
          </w:tcPr>
          <w:p>
            <w:pPr>
              <w:spacing w:after="0"/>
              <w:rPr>
                <w:sz w:val="20"/>
                <w:szCs w:val="20"/>
                <w:color w:val="auto"/>
              </w:rPr>
            </w:pPr>
          </w:p>
        </w:tc>
        <w:tc>
          <w:tcPr>
            <w:tcW w:w="240" w:type="dxa"/>
            <w:vAlign w:val="bottom"/>
            <w:shd w:val="clear" w:color="auto" w:fill="BFBFBF"/>
          </w:tcPr>
          <w:p>
            <w:pPr>
              <w:spacing w:after="0"/>
              <w:rPr>
                <w:sz w:val="20"/>
                <w:szCs w:val="20"/>
                <w:color w:val="auto"/>
              </w:rPr>
            </w:pPr>
          </w:p>
        </w:tc>
        <w:tc>
          <w:tcPr>
            <w:tcW w:w="180" w:type="dxa"/>
            <w:vAlign w:val="bottom"/>
            <w:shd w:val="clear" w:color="auto" w:fill="BFBFBF"/>
          </w:tcPr>
          <w:p>
            <w:pPr>
              <w:spacing w:after="0"/>
              <w:rPr>
                <w:sz w:val="20"/>
                <w:szCs w:val="20"/>
                <w:color w:val="auto"/>
              </w:rPr>
            </w:pPr>
          </w:p>
        </w:tc>
        <w:tc>
          <w:tcPr>
            <w:tcW w:w="5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820" w:type="dxa"/>
            <w:vAlign w:val="bottom"/>
            <w:tcBorders>
              <w:right w:val="single" w:sz="8" w:color="BFBFBF"/>
            </w:tcBorders>
            <w:shd w:val="clear" w:color="auto" w:fill="BFBFBF"/>
          </w:tcPr>
          <w:p>
            <w:pPr>
              <w:spacing w:after="0"/>
              <w:rPr>
                <w:sz w:val="24"/>
                <w:szCs w:val="24"/>
                <w:color w:val="auto"/>
              </w:rPr>
            </w:pPr>
          </w:p>
        </w:tc>
        <w:tc>
          <w:tcPr>
            <w:tcW w:w="2200" w:type="dxa"/>
            <w:vAlign w:val="bottom"/>
            <w:tcBorders>
              <w:right w:val="single" w:sz="8" w:color="BFBFBF"/>
            </w:tcBorders>
            <w:shd w:val="clear" w:color="auto" w:fill="BFBFBF"/>
          </w:tcPr>
          <w:p>
            <w:pPr>
              <w:spacing w:after="0"/>
              <w:rPr>
                <w:sz w:val="24"/>
                <w:szCs w:val="24"/>
                <w:color w:val="auto"/>
              </w:rPr>
            </w:pPr>
          </w:p>
        </w:tc>
        <w:tc>
          <w:tcPr>
            <w:tcW w:w="234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1140" w:type="dxa"/>
            <w:vAlign w:val="bottom"/>
            <w:tcBorders>
              <w:bottom w:val="single" w:sz="8" w:color="auto"/>
            </w:tcBorders>
            <w:shd w:val="clear" w:color="auto" w:fill="BFBFBF"/>
          </w:tcPr>
          <w:p>
            <w:pPr>
              <w:spacing w:after="0"/>
              <w:rPr>
                <w:sz w:val="23"/>
                <w:szCs w:val="23"/>
                <w:color w:val="auto"/>
              </w:rPr>
            </w:pPr>
          </w:p>
        </w:tc>
        <w:tc>
          <w:tcPr>
            <w:tcW w:w="8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SOLE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636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DISPOSITIVE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1,793,923*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520" w:type="dxa"/>
            <w:vAlign w:val="bottom"/>
            <w:tcBorders>
              <w:bottom w:val="single" w:sz="8" w:color="auto"/>
            </w:tcBorders>
            <w:gridSpan w:val="5"/>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12"/>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03"/>
        </w:trPr>
        <w:tc>
          <w:tcPr>
            <w:tcW w:w="2260" w:type="dxa"/>
            <w:vAlign w:val="bottom"/>
            <w:tcBorders>
              <w:top w:val="single" w:sz="8" w:color="auto"/>
              <w:left w:val="single" w:sz="8" w:color="auto"/>
            </w:tcBorders>
            <w:gridSpan w:val="3"/>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2340" w:type="dxa"/>
            <w:vAlign w:val="bottom"/>
            <w:tcBorders>
              <w:top w:val="single" w:sz="8" w:color="auto"/>
            </w:tcBorders>
          </w:tcPr>
          <w:p>
            <w:pPr>
              <w:spacing w:after="0"/>
              <w:rPr>
                <w:sz w:val="17"/>
                <w:szCs w:val="17"/>
                <w:color w:val="auto"/>
              </w:rPr>
            </w:pPr>
          </w:p>
        </w:tc>
        <w:tc>
          <w:tcPr>
            <w:tcW w:w="2180" w:type="dxa"/>
            <w:vAlign w:val="bottom"/>
            <w:tcBorders>
              <w:top w:val="single" w:sz="8" w:color="auto"/>
              <w:right w:val="single" w:sz="8" w:color="auto"/>
            </w:tcBorders>
            <w:gridSpan w:val="5"/>
          </w:tcPr>
          <w:p>
            <w:pPr>
              <w:ind w:left="720"/>
              <w:spacing w:after="0" w:line="202" w:lineRule="exact"/>
              <w:rPr>
                <w:sz w:val="20"/>
                <w:szCs w:val="20"/>
                <w:color w:val="auto"/>
              </w:rPr>
            </w:pPr>
            <w:r>
              <w:rPr>
                <w:rFonts w:ascii="Arial" w:cs="Arial" w:eastAsia="Arial" w:hAnsi="Arial"/>
                <w:sz w:val="18"/>
                <w:szCs w:val="18"/>
                <w:b w:val="1"/>
                <w:bCs w:val="1"/>
                <w:color w:val="auto"/>
                <w:w w:val="87"/>
              </w:rPr>
              <w:t>Page 4 of 17 Pages</w:t>
            </w:r>
          </w:p>
        </w:tc>
        <w:tc>
          <w:tcPr>
            <w:tcW w:w="0" w:type="dxa"/>
            <w:vAlign w:val="bottom"/>
          </w:tcPr>
          <w:p>
            <w:pPr>
              <w:spacing w:after="0"/>
              <w:rPr>
                <w:sz w:val="1"/>
                <w:szCs w:val="1"/>
                <w:color w:val="auto"/>
              </w:rPr>
            </w:pPr>
          </w:p>
        </w:tc>
      </w:tr>
      <w:tr>
        <w:trPr>
          <w:trHeight w:val="28"/>
        </w:trPr>
        <w:tc>
          <w:tcPr>
            <w:tcW w:w="140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80" w:type="dxa"/>
            <w:vAlign w:val="bottom"/>
            <w:gridSpan w:val="7"/>
          </w:tcPr>
          <w:p>
            <w:pPr>
              <w:ind w:left="40"/>
              <w:spacing w:after="0"/>
              <w:rPr>
                <w:sz w:val="20"/>
                <w:szCs w:val="20"/>
                <w:color w:val="auto"/>
              </w:rPr>
            </w:pPr>
            <w:r>
              <w:rPr>
                <w:rFonts w:ascii="Arial" w:cs="Arial" w:eastAsia="Arial" w:hAnsi="Arial"/>
                <w:sz w:val="18"/>
                <w:szCs w:val="18"/>
                <w:color w:val="auto"/>
              </w:rPr>
              <w:t>Viking Global Opportunities GP LLC</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820" w:type="dxa"/>
            <w:vAlign w:val="bottom"/>
            <w:tcBorders>
              <w:right w:val="single" w:sz="8" w:color="BFBFBF"/>
            </w:tcBorders>
            <w:shd w:val="clear" w:color="auto" w:fill="BFBFBF"/>
          </w:tcPr>
          <w:p>
            <w:pPr>
              <w:spacing w:after="0"/>
              <w:rPr>
                <w:sz w:val="20"/>
                <w:szCs w:val="20"/>
                <w:color w:val="auto"/>
              </w:rPr>
            </w:pPr>
          </w:p>
        </w:tc>
        <w:tc>
          <w:tcPr>
            <w:tcW w:w="2200" w:type="dxa"/>
            <w:vAlign w:val="bottom"/>
            <w:tcBorders>
              <w:right w:val="single" w:sz="8" w:color="BFBFBF"/>
            </w:tcBorders>
            <w:shd w:val="clear" w:color="auto" w:fill="BFBFBF"/>
          </w:tcPr>
          <w:p>
            <w:pPr>
              <w:spacing w:after="0"/>
              <w:rPr>
                <w:sz w:val="20"/>
                <w:szCs w:val="20"/>
                <w:color w:val="auto"/>
              </w:rPr>
            </w:pPr>
          </w:p>
        </w:tc>
        <w:tc>
          <w:tcPr>
            <w:tcW w:w="2340" w:type="dxa"/>
            <w:vAlign w:val="bottom"/>
            <w:shd w:val="clear" w:color="auto" w:fill="BFBFBF"/>
          </w:tcPr>
          <w:p>
            <w:pPr>
              <w:spacing w:after="0"/>
              <w:rPr>
                <w:sz w:val="20"/>
                <w:szCs w:val="20"/>
                <w:color w:val="auto"/>
              </w:rPr>
            </w:pPr>
          </w:p>
        </w:tc>
        <w:tc>
          <w:tcPr>
            <w:tcW w:w="1140" w:type="dxa"/>
            <w:vAlign w:val="bottom"/>
            <w:shd w:val="clear" w:color="auto" w:fill="BFBFBF"/>
          </w:tcPr>
          <w:p>
            <w:pPr>
              <w:spacing w:after="0"/>
              <w:rPr>
                <w:sz w:val="20"/>
                <w:szCs w:val="20"/>
                <w:color w:val="auto"/>
              </w:rPr>
            </w:pPr>
          </w:p>
        </w:tc>
        <w:tc>
          <w:tcPr>
            <w:tcW w:w="80" w:type="dxa"/>
            <w:vAlign w:val="bottom"/>
            <w:shd w:val="clear" w:color="auto" w:fill="BFBFBF"/>
          </w:tcPr>
          <w:p>
            <w:pPr>
              <w:spacing w:after="0"/>
              <w:rPr>
                <w:sz w:val="20"/>
                <w:szCs w:val="20"/>
                <w:color w:val="auto"/>
              </w:rPr>
            </w:pPr>
          </w:p>
        </w:tc>
        <w:tc>
          <w:tcPr>
            <w:tcW w:w="240" w:type="dxa"/>
            <w:vAlign w:val="bottom"/>
            <w:shd w:val="clear" w:color="auto" w:fill="BFBFBF"/>
          </w:tcPr>
          <w:p>
            <w:pPr>
              <w:spacing w:after="0"/>
              <w:rPr>
                <w:sz w:val="20"/>
                <w:szCs w:val="20"/>
                <w:color w:val="auto"/>
              </w:rPr>
            </w:pPr>
          </w:p>
        </w:tc>
        <w:tc>
          <w:tcPr>
            <w:tcW w:w="180" w:type="dxa"/>
            <w:vAlign w:val="bottom"/>
            <w:shd w:val="clear" w:color="auto" w:fill="BFBFBF"/>
          </w:tcPr>
          <w:p>
            <w:pPr>
              <w:spacing w:after="0"/>
              <w:rPr>
                <w:sz w:val="20"/>
                <w:szCs w:val="20"/>
                <w:color w:val="auto"/>
              </w:rPr>
            </w:pPr>
          </w:p>
        </w:tc>
        <w:tc>
          <w:tcPr>
            <w:tcW w:w="5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820" w:type="dxa"/>
            <w:vAlign w:val="bottom"/>
            <w:tcBorders>
              <w:right w:val="single" w:sz="8" w:color="BFBFBF"/>
            </w:tcBorders>
            <w:shd w:val="clear" w:color="auto" w:fill="BFBFBF"/>
          </w:tcPr>
          <w:p>
            <w:pPr>
              <w:spacing w:after="0"/>
              <w:rPr>
                <w:sz w:val="24"/>
                <w:szCs w:val="24"/>
                <w:color w:val="auto"/>
              </w:rPr>
            </w:pPr>
          </w:p>
        </w:tc>
        <w:tc>
          <w:tcPr>
            <w:tcW w:w="2200" w:type="dxa"/>
            <w:vAlign w:val="bottom"/>
            <w:tcBorders>
              <w:right w:val="single" w:sz="8" w:color="BFBFBF"/>
            </w:tcBorders>
            <w:shd w:val="clear" w:color="auto" w:fill="BFBFBF"/>
          </w:tcPr>
          <w:p>
            <w:pPr>
              <w:spacing w:after="0"/>
              <w:rPr>
                <w:sz w:val="24"/>
                <w:szCs w:val="24"/>
                <w:color w:val="auto"/>
              </w:rPr>
            </w:pPr>
          </w:p>
        </w:tc>
        <w:tc>
          <w:tcPr>
            <w:tcW w:w="234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1140" w:type="dxa"/>
            <w:vAlign w:val="bottom"/>
            <w:tcBorders>
              <w:bottom w:val="single" w:sz="8" w:color="auto"/>
            </w:tcBorders>
            <w:shd w:val="clear" w:color="auto" w:fill="BFBFBF"/>
          </w:tcPr>
          <w:p>
            <w:pPr>
              <w:spacing w:after="0"/>
              <w:rPr>
                <w:sz w:val="23"/>
                <w:szCs w:val="23"/>
                <w:color w:val="auto"/>
              </w:rPr>
            </w:pPr>
          </w:p>
        </w:tc>
        <w:tc>
          <w:tcPr>
            <w:tcW w:w="8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SOLE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636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DISPOSITIVE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1,793,923*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520" w:type="dxa"/>
            <w:vAlign w:val="bottom"/>
            <w:tcBorders>
              <w:bottom w:val="single" w:sz="8" w:color="auto"/>
            </w:tcBorders>
            <w:gridSpan w:val="5"/>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12"/>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03"/>
        </w:trPr>
        <w:tc>
          <w:tcPr>
            <w:tcW w:w="2260" w:type="dxa"/>
            <w:vAlign w:val="bottom"/>
            <w:tcBorders>
              <w:top w:val="single" w:sz="8" w:color="auto"/>
              <w:left w:val="single" w:sz="8" w:color="auto"/>
            </w:tcBorders>
            <w:gridSpan w:val="3"/>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2340" w:type="dxa"/>
            <w:vAlign w:val="bottom"/>
            <w:tcBorders>
              <w:top w:val="single" w:sz="8" w:color="auto"/>
            </w:tcBorders>
          </w:tcPr>
          <w:p>
            <w:pPr>
              <w:spacing w:after="0"/>
              <w:rPr>
                <w:sz w:val="17"/>
                <w:szCs w:val="17"/>
                <w:color w:val="auto"/>
              </w:rPr>
            </w:pPr>
          </w:p>
        </w:tc>
        <w:tc>
          <w:tcPr>
            <w:tcW w:w="2180" w:type="dxa"/>
            <w:vAlign w:val="bottom"/>
            <w:tcBorders>
              <w:top w:val="single" w:sz="8" w:color="auto"/>
              <w:right w:val="single" w:sz="8" w:color="auto"/>
            </w:tcBorders>
            <w:gridSpan w:val="5"/>
          </w:tcPr>
          <w:p>
            <w:pPr>
              <w:ind w:left="720"/>
              <w:spacing w:after="0" w:line="202" w:lineRule="exact"/>
              <w:rPr>
                <w:sz w:val="20"/>
                <w:szCs w:val="20"/>
                <w:color w:val="auto"/>
              </w:rPr>
            </w:pPr>
            <w:r>
              <w:rPr>
                <w:rFonts w:ascii="Arial" w:cs="Arial" w:eastAsia="Arial" w:hAnsi="Arial"/>
                <w:sz w:val="18"/>
                <w:szCs w:val="18"/>
                <w:b w:val="1"/>
                <w:bCs w:val="1"/>
                <w:color w:val="auto"/>
                <w:w w:val="87"/>
              </w:rPr>
              <w:t>Page 5 of 17 Pages</w:t>
            </w:r>
          </w:p>
        </w:tc>
        <w:tc>
          <w:tcPr>
            <w:tcW w:w="0" w:type="dxa"/>
            <w:vAlign w:val="bottom"/>
          </w:tcPr>
          <w:p>
            <w:pPr>
              <w:spacing w:after="0"/>
              <w:rPr>
                <w:sz w:val="1"/>
                <w:szCs w:val="1"/>
                <w:color w:val="auto"/>
              </w:rPr>
            </w:pPr>
          </w:p>
        </w:tc>
      </w:tr>
      <w:tr>
        <w:trPr>
          <w:trHeight w:val="28"/>
        </w:trPr>
        <w:tc>
          <w:tcPr>
            <w:tcW w:w="140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80" w:type="dxa"/>
            <w:vAlign w:val="bottom"/>
            <w:gridSpan w:val="7"/>
          </w:tcPr>
          <w:p>
            <w:pPr>
              <w:ind w:left="40"/>
              <w:spacing w:after="0"/>
              <w:rPr>
                <w:sz w:val="20"/>
                <w:szCs w:val="20"/>
                <w:color w:val="auto"/>
              </w:rPr>
            </w:pPr>
            <w:r>
              <w:rPr>
                <w:rFonts w:ascii="Arial" w:cs="Arial" w:eastAsia="Arial" w:hAnsi="Arial"/>
                <w:sz w:val="18"/>
                <w:szCs w:val="18"/>
                <w:color w:val="auto"/>
              </w:rPr>
              <w:t>Viking Global Opportunities Portfolio GP LLC</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820" w:type="dxa"/>
            <w:vAlign w:val="bottom"/>
            <w:tcBorders>
              <w:right w:val="single" w:sz="8" w:color="BFBFBF"/>
            </w:tcBorders>
            <w:shd w:val="clear" w:color="auto" w:fill="BFBFBF"/>
          </w:tcPr>
          <w:p>
            <w:pPr>
              <w:spacing w:after="0"/>
              <w:rPr>
                <w:sz w:val="20"/>
                <w:szCs w:val="20"/>
                <w:color w:val="auto"/>
              </w:rPr>
            </w:pPr>
          </w:p>
        </w:tc>
        <w:tc>
          <w:tcPr>
            <w:tcW w:w="2200" w:type="dxa"/>
            <w:vAlign w:val="bottom"/>
            <w:tcBorders>
              <w:right w:val="single" w:sz="8" w:color="BFBFBF"/>
            </w:tcBorders>
            <w:shd w:val="clear" w:color="auto" w:fill="BFBFBF"/>
          </w:tcPr>
          <w:p>
            <w:pPr>
              <w:spacing w:after="0"/>
              <w:rPr>
                <w:sz w:val="20"/>
                <w:szCs w:val="20"/>
                <w:color w:val="auto"/>
              </w:rPr>
            </w:pPr>
          </w:p>
        </w:tc>
        <w:tc>
          <w:tcPr>
            <w:tcW w:w="2340" w:type="dxa"/>
            <w:vAlign w:val="bottom"/>
            <w:shd w:val="clear" w:color="auto" w:fill="BFBFBF"/>
          </w:tcPr>
          <w:p>
            <w:pPr>
              <w:spacing w:after="0"/>
              <w:rPr>
                <w:sz w:val="20"/>
                <w:szCs w:val="20"/>
                <w:color w:val="auto"/>
              </w:rPr>
            </w:pPr>
          </w:p>
        </w:tc>
        <w:tc>
          <w:tcPr>
            <w:tcW w:w="1140" w:type="dxa"/>
            <w:vAlign w:val="bottom"/>
            <w:shd w:val="clear" w:color="auto" w:fill="BFBFBF"/>
          </w:tcPr>
          <w:p>
            <w:pPr>
              <w:spacing w:after="0"/>
              <w:rPr>
                <w:sz w:val="20"/>
                <w:szCs w:val="20"/>
                <w:color w:val="auto"/>
              </w:rPr>
            </w:pPr>
          </w:p>
        </w:tc>
        <w:tc>
          <w:tcPr>
            <w:tcW w:w="80" w:type="dxa"/>
            <w:vAlign w:val="bottom"/>
            <w:shd w:val="clear" w:color="auto" w:fill="BFBFBF"/>
          </w:tcPr>
          <w:p>
            <w:pPr>
              <w:spacing w:after="0"/>
              <w:rPr>
                <w:sz w:val="20"/>
                <w:szCs w:val="20"/>
                <w:color w:val="auto"/>
              </w:rPr>
            </w:pPr>
          </w:p>
        </w:tc>
        <w:tc>
          <w:tcPr>
            <w:tcW w:w="240" w:type="dxa"/>
            <w:vAlign w:val="bottom"/>
            <w:shd w:val="clear" w:color="auto" w:fill="BFBFBF"/>
          </w:tcPr>
          <w:p>
            <w:pPr>
              <w:spacing w:after="0"/>
              <w:rPr>
                <w:sz w:val="20"/>
                <w:szCs w:val="20"/>
                <w:color w:val="auto"/>
              </w:rPr>
            </w:pPr>
          </w:p>
        </w:tc>
        <w:tc>
          <w:tcPr>
            <w:tcW w:w="180" w:type="dxa"/>
            <w:vAlign w:val="bottom"/>
            <w:shd w:val="clear" w:color="auto" w:fill="BFBFBF"/>
          </w:tcPr>
          <w:p>
            <w:pPr>
              <w:spacing w:after="0"/>
              <w:rPr>
                <w:sz w:val="20"/>
                <w:szCs w:val="20"/>
                <w:color w:val="auto"/>
              </w:rPr>
            </w:pPr>
          </w:p>
        </w:tc>
        <w:tc>
          <w:tcPr>
            <w:tcW w:w="5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820" w:type="dxa"/>
            <w:vAlign w:val="bottom"/>
            <w:tcBorders>
              <w:right w:val="single" w:sz="8" w:color="BFBFBF"/>
            </w:tcBorders>
            <w:shd w:val="clear" w:color="auto" w:fill="BFBFBF"/>
          </w:tcPr>
          <w:p>
            <w:pPr>
              <w:spacing w:after="0"/>
              <w:rPr>
                <w:sz w:val="24"/>
                <w:szCs w:val="24"/>
                <w:color w:val="auto"/>
              </w:rPr>
            </w:pPr>
          </w:p>
        </w:tc>
        <w:tc>
          <w:tcPr>
            <w:tcW w:w="2200" w:type="dxa"/>
            <w:vAlign w:val="bottom"/>
            <w:tcBorders>
              <w:right w:val="single" w:sz="8" w:color="BFBFBF"/>
            </w:tcBorders>
            <w:shd w:val="clear" w:color="auto" w:fill="BFBFBF"/>
          </w:tcPr>
          <w:p>
            <w:pPr>
              <w:spacing w:after="0"/>
              <w:rPr>
                <w:sz w:val="24"/>
                <w:szCs w:val="24"/>
                <w:color w:val="auto"/>
              </w:rPr>
            </w:pPr>
          </w:p>
        </w:tc>
        <w:tc>
          <w:tcPr>
            <w:tcW w:w="234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1140" w:type="dxa"/>
            <w:vAlign w:val="bottom"/>
            <w:tcBorders>
              <w:bottom w:val="single" w:sz="8" w:color="auto"/>
            </w:tcBorders>
            <w:shd w:val="clear" w:color="auto" w:fill="BFBFBF"/>
          </w:tcPr>
          <w:p>
            <w:pPr>
              <w:spacing w:after="0"/>
              <w:rPr>
                <w:sz w:val="23"/>
                <w:szCs w:val="23"/>
                <w:color w:val="auto"/>
              </w:rPr>
            </w:pPr>
          </w:p>
        </w:tc>
        <w:tc>
          <w:tcPr>
            <w:tcW w:w="8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SOLE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636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DISPOSITIVE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1,793,923*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520" w:type="dxa"/>
            <w:vAlign w:val="bottom"/>
            <w:tcBorders>
              <w:bottom w:val="single" w:sz="8" w:color="auto"/>
            </w:tcBorders>
            <w:gridSpan w:val="5"/>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12"/>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03"/>
        </w:trPr>
        <w:tc>
          <w:tcPr>
            <w:tcW w:w="2260" w:type="dxa"/>
            <w:vAlign w:val="bottom"/>
            <w:tcBorders>
              <w:top w:val="single" w:sz="8" w:color="auto"/>
              <w:left w:val="single" w:sz="8" w:color="auto"/>
            </w:tcBorders>
            <w:gridSpan w:val="3"/>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2340" w:type="dxa"/>
            <w:vAlign w:val="bottom"/>
            <w:tcBorders>
              <w:top w:val="single" w:sz="8" w:color="auto"/>
            </w:tcBorders>
          </w:tcPr>
          <w:p>
            <w:pPr>
              <w:spacing w:after="0"/>
              <w:rPr>
                <w:sz w:val="17"/>
                <w:szCs w:val="17"/>
                <w:color w:val="auto"/>
              </w:rPr>
            </w:pPr>
          </w:p>
        </w:tc>
        <w:tc>
          <w:tcPr>
            <w:tcW w:w="2180" w:type="dxa"/>
            <w:vAlign w:val="bottom"/>
            <w:tcBorders>
              <w:top w:val="single" w:sz="8" w:color="auto"/>
              <w:right w:val="single" w:sz="8" w:color="auto"/>
            </w:tcBorders>
            <w:gridSpan w:val="5"/>
          </w:tcPr>
          <w:p>
            <w:pPr>
              <w:ind w:left="720"/>
              <w:spacing w:after="0" w:line="202" w:lineRule="exact"/>
              <w:rPr>
                <w:sz w:val="20"/>
                <w:szCs w:val="20"/>
                <w:color w:val="auto"/>
              </w:rPr>
            </w:pPr>
            <w:r>
              <w:rPr>
                <w:rFonts w:ascii="Arial" w:cs="Arial" w:eastAsia="Arial" w:hAnsi="Arial"/>
                <w:sz w:val="18"/>
                <w:szCs w:val="18"/>
                <w:b w:val="1"/>
                <w:bCs w:val="1"/>
                <w:color w:val="auto"/>
                <w:w w:val="87"/>
              </w:rPr>
              <w:t>Page 6 of 17 Pages</w:t>
            </w:r>
          </w:p>
        </w:tc>
        <w:tc>
          <w:tcPr>
            <w:tcW w:w="0" w:type="dxa"/>
            <w:vAlign w:val="bottom"/>
          </w:tcPr>
          <w:p>
            <w:pPr>
              <w:spacing w:after="0"/>
              <w:rPr>
                <w:sz w:val="1"/>
                <w:szCs w:val="1"/>
                <w:color w:val="auto"/>
              </w:rPr>
            </w:pPr>
          </w:p>
        </w:tc>
      </w:tr>
      <w:tr>
        <w:trPr>
          <w:trHeight w:val="28"/>
        </w:trPr>
        <w:tc>
          <w:tcPr>
            <w:tcW w:w="140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80" w:type="dxa"/>
            <w:vAlign w:val="bottom"/>
            <w:gridSpan w:val="7"/>
          </w:tcPr>
          <w:p>
            <w:pPr>
              <w:ind w:left="40"/>
              <w:spacing w:after="0"/>
              <w:rPr>
                <w:sz w:val="20"/>
                <w:szCs w:val="20"/>
                <w:color w:val="auto"/>
              </w:rPr>
            </w:pPr>
            <w:r>
              <w:rPr>
                <w:rFonts w:ascii="Arial" w:cs="Arial" w:eastAsia="Arial" w:hAnsi="Arial"/>
                <w:sz w:val="18"/>
                <w:szCs w:val="18"/>
                <w:color w:val="auto"/>
              </w:rPr>
              <w:t>Viking Global Opportunities Illiquid Investments Sub-Master LP</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820" w:type="dxa"/>
            <w:vAlign w:val="bottom"/>
            <w:tcBorders>
              <w:right w:val="single" w:sz="8" w:color="BFBFBF"/>
            </w:tcBorders>
            <w:shd w:val="clear" w:color="auto" w:fill="BFBFBF"/>
          </w:tcPr>
          <w:p>
            <w:pPr>
              <w:spacing w:after="0"/>
              <w:rPr>
                <w:sz w:val="20"/>
                <w:szCs w:val="20"/>
                <w:color w:val="auto"/>
              </w:rPr>
            </w:pPr>
          </w:p>
        </w:tc>
        <w:tc>
          <w:tcPr>
            <w:tcW w:w="2200" w:type="dxa"/>
            <w:vAlign w:val="bottom"/>
            <w:tcBorders>
              <w:right w:val="single" w:sz="8" w:color="BFBFBF"/>
            </w:tcBorders>
            <w:shd w:val="clear" w:color="auto" w:fill="BFBFBF"/>
          </w:tcPr>
          <w:p>
            <w:pPr>
              <w:spacing w:after="0"/>
              <w:rPr>
                <w:sz w:val="20"/>
                <w:szCs w:val="20"/>
                <w:color w:val="auto"/>
              </w:rPr>
            </w:pPr>
          </w:p>
        </w:tc>
        <w:tc>
          <w:tcPr>
            <w:tcW w:w="2340" w:type="dxa"/>
            <w:vAlign w:val="bottom"/>
            <w:shd w:val="clear" w:color="auto" w:fill="BFBFBF"/>
          </w:tcPr>
          <w:p>
            <w:pPr>
              <w:spacing w:after="0"/>
              <w:rPr>
                <w:sz w:val="20"/>
                <w:szCs w:val="20"/>
                <w:color w:val="auto"/>
              </w:rPr>
            </w:pPr>
          </w:p>
        </w:tc>
        <w:tc>
          <w:tcPr>
            <w:tcW w:w="1140" w:type="dxa"/>
            <w:vAlign w:val="bottom"/>
            <w:shd w:val="clear" w:color="auto" w:fill="BFBFBF"/>
          </w:tcPr>
          <w:p>
            <w:pPr>
              <w:spacing w:after="0"/>
              <w:rPr>
                <w:sz w:val="20"/>
                <w:szCs w:val="20"/>
                <w:color w:val="auto"/>
              </w:rPr>
            </w:pPr>
          </w:p>
        </w:tc>
        <w:tc>
          <w:tcPr>
            <w:tcW w:w="80" w:type="dxa"/>
            <w:vAlign w:val="bottom"/>
            <w:shd w:val="clear" w:color="auto" w:fill="BFBFBF"/>
          </w:tcPr>
          <w:p>
            <w:pPr>
              <w:spacing w:after="0"/>
              <w:rPr>
                <w:sz w:val="20"/>
                <w:szCs w:val="20"/>
                <w:color w:val="auto"/>
              </w:rPr>
            </w:pPr>
          </w:p>
        </w:tc>
        <w:tc>
          <w:tcPr>
            <w:tcW w:w="240" w:type="dxa"/>
            <w:vAlign w:val="bottom"/>
            <w:shd w:val="clear" w:color="auto" w:fill="BFBFBF"/>
          </w:tcPr>
          <w:p>
            <w:pPr>
              <w:spacing w:after="0"/>
              <w:rPr>
                <w:sz w:val="20"/>
                <w:szCs w:val="20"/>
                <w:color w:val="auto"/>
              </w:rPr>
            </w:pPr>
          </w:p>
        </w:tc>
        <w:tc>
          <w:tcPr>
            <w:tcW w:w="180" w:type="dxa"/>
            <w:vAlign w:val="bottom"/>
            <w:shd w:val="clear" w:color="auto" w:fill="BFBFBF"/>
          </w:tcPr>
          <w:p>
            <w:pPr>
              <w:spacing w:after="0"/>
              <w:rPr>
                <w:sz w:val="20"/>
                <w:szCs w:val="20"/>
                <w:color w:val="auto"/>
              </w:rPr>
            </w:pPr>
          </w:p>
        </w:tc>
        <w:tc>
          <w:tcPr>
            <w:tcW w:w="5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820" w:type="dxa"/>
            <w:vAlign w:val="bottom"/>
            <w:tcBorders>
              <w:right w:val="single" w:sz="8" w:color="BFBFBF"/>
            </w:tcBorders>
            <w:shd w:val="clear" w:color="auto" w:fill="BFBFBF"/>
          </w:tcPr>
          <w:p>
            <w:pPr>
              <w:spacing w:after="0"/>
              <w:rPr>
                <w:sz w:val="24"/>
                <w:szCs w:val="24"/>
                <w:color w:val="auto"/>
              </w:rPr>
            </w:pPr>
          </w:p>
        </w:tc>
        <w:tc>
          <w:tcPr>
            <w:tcW w:w="2200" w:type="dxa"/>
            <w:vAlign w:val="bottom"/>
            <w:tcBorders>
              <w:right w:val="single" w:sz="8" w:color="BFBFBF"/>
            </w:tcBorders>
            <w:shd w:val="clear" w:color="auto" w:fill="BFBFBF"/>
          </w:tcPr>
          <w:p>
            <w:pPr>
              <w:spacing w:after="0"/>
              <w:rPr>
                <w:sz w:val="24"/>
                <w:szCs w:val="24"/>
                <w:color w:val="auto"/>
              </w:rPr>
            </w:pPr>
          </w:p>
        </w:tc>
        <w:tc>
          <w:tcPr>
            <w:tcW w:w="234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1140" w:type="dxa"/>
            <w:vAlign w:val="bottom"/>
            <w:tcBorders>
              <w:bottom w:val="single" w:sz="8" w:color="auto"/>
            </w:tcBorders>
            <w:shd w:val="clear" w:color="auto" w:fill="BFBFBF"/>
          </w:tcPr>
          <w:p>
            <w:pPr>
              <w:spacing w:after="0"/>
              <w:rPr>
                <w:sz w:val="23"/>
                <w:szCs w:val="23"/>
                <w:color w:val="auto"/>
              </w:rPr>
            </w:pPr>
          </w:p>
        </w:tc>
        <w:tc>
          <w:tcPr>
            <w:tcW w:w="8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w w:val="97"/>
              </w:rPr>
              <w:t>Cayman Islands</w:t>
            </w: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SOLE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636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DISPOSITIVE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1,793,923*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520" w:type="dxa"/>
            <w:vAlign w:val="bottom"/>
            <w:tcBorders>
              <w:bottom w:val="single" w:sz="8" w:color="auto"/>
            </w:tcBorders>
            <w:gridSpan w:val="5"/>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12"/>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02"/>
        </w:trPr>
        <w:tc>
          <w:tcPr>
            <w:tcW w:w="2260" w:type="dxa"/>
            <w:vAlign w:val="bottom"/>
            <w:tcBorders>
              <w:top w:val="single" w:sz="8" w:color="auto"/>
              <w:left w:val="single" w:sz="8" w:color="auto"/>
            </w:tcBorders>
            <w:gridSpan w:val="3"/>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2340" w:type="dxa"/>
            <w:vAlign w:val="bottom"/>
            <w:tcBorders>
              <w:top w:val="single" w:sz="8" w:color="auto"/>
            </w:tcBorders>
          </w:tcPr>
          <w:p>
            <w:pPr>
              <w:spacing w:after="0"/>
              <w:rPr>
                <w:sz w:val="17"/>
                <w:szCs w:val="17"/>
                <w:color w:val="auto"/>
              </w:rPr>
            </w:pPr>
          </w:p>
        </w:tc>
        <w:tc>
          <w:tcPr>
            <w:tcW w:w="2180" w:type="dxa"/>
            <w:vAlign w:val="bottom"/>
            <w:tcBorders>
              <w:top w:val="single" w:sz="8" w:color="auto"/>
              <w:right w:val="single" w:sz="8" w:color="auto"/>
            </w:tcBorders>
            <w:gridSpan w:val="5"/>
          </w:tcPr>
          <w:p>
            <w:pPr>
              <w:ind w:left="720"/>
              <w:spacing w:after="0" w:line="202" w:lineRule="exact"/>
              <w:rPr>
                <w:sz w:val="20"/>
                <w:szCs w:val="20"/>
                <w:color w:val="auto"/>
              </w:rPr>
            </w:pPr>
            <w:r>
              <w:rPr>
                <w:rFonts w:ascii="Arial" w:cs="Arial" w:eastAsia="Arial" w:hAnsi="Arial"/>
                <w:sz w:val="18"/>
                <w:szCs w:val="18"/>
                <w:b w:val="1"/>
                <w:bCs w:val="1"/>
                <w:color w:val="auto"/>
                <w:w w:val="87"/>
              </w:rPr>
              <w:t>Page 7 of 17 Pages</w:t>
            </w:r>
          </w:p>
        </w:tc>
        <w:tc>
          <w:tcPr>
            <w:tcW w:w="0" w:type="dxa"/>
            <w:vAlign w:val="bottom"/>
          </w:tcPr>
          <w:p>
            <w:pPr>
              <w:spacing w:after="0"/>
              <w:rPr>
                <w:sz w:val="1"/>
                <w:szCs w:val="1"/>
                <w:color w:val="auto"/>
              </w:rPr>
            </w:pPr>
          </w:p>
        </w:tc>
      </w:tr>
      <w:tr>
        <w:trPr>
          <w:trHeight w:val="28"/>
        </w:trPr>
        <w:tc>
          <w:tcPr>
            <w:tcW w:w="140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rPr>
              <w:t>KAVRA 16 LLC</w:t>
            </w: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820" w:type="dxa"/>
            <w:vAlign w:val="bottom"/>
            <w:tcBorders>
              <w:right w:val="single" w:sz="8" w:color="BFBFBF"/>
            </w:tcBorders>
            <w:shd w:val="clear" w:color="auto" w:fill="BFBFBF"/>
          </w:tcPr>
          <w:p>
            <w:pPr>
              <w:spacing w:after="0"/>
              <w:rPr>
                <w:sz w:val="20"/>
                <w:szCs w:val="20"/>
                <w:color w:val="auto"/>
              </w:rPr>
            </w:pPr>
          </w:p>
        </w:tc>
        <w:tc>
          <w:tcPr>
            <w:tcW w:w="2200" w:type="dxa"/>
            <w:vAlign w:val="bottom"/>
            <w:tcBorders>
              <w:right w:val="single" w:sz="8" w:color="BFBFBF"/>
            </w:tcBorders>
            <w:shd w:val="clear" w:color="auto" w:fill="BFBFBF"/>
          </w:tcPr>
          <w:p>
            <w:pPr>
              <w:spacing w:after="0"/>
              <w:rPr>
                <w:sz w:val="20"/>
                <w:szCs w:val="20"/>
                <w:color w:val="auto"/>
              </w:rPr>
            </w:pPr>
          </w:p>
        </w:tc>
        <w:tc>
          <w:tcPr>
            <w:tcW w:w="2340" w:type="dxa"/>
            <w:vAlign w:val="bottom"/>
            <w:shd w:val="clear" w:color="auto" w:fill="BFBFBF"/>
          </w:tcPr>
          <w:p>
            <w:pPr>
              <w:spacing w:after="0"/>
              <w:rPr>
                <w:sz w:val="20"/>
                <w:szCs w:val="20"/>
                <w:color w:val="auto"/>
              </w:rPr>
            </w:pPr>
          </w:p>
        </w:tc>
        <w:tc>
          <w:tcPr>
            <w:tcW w:w="1140" w:type="dxa"/>
            <w:vAlign w:val="bottom"/>
            <w:shd w:val="clear" w:color="auto" w:fill="BFBFBF"/>
          </w:tcPr>
          <w:p>
            <w:pPr>
              <w:spacing w:after="0"/>
              <w:rPr>
                <w:sz w:val="20"/>
                <w:szCs w:val="20"/>
                <w:color w:val="auto"/>
              </w:rPr>
            </w:pPr>
          </w:p>
        </w:tc>
        <w:tc>
          <w:tcPr>
            <w:tcW w:w="80" w:type="dxa"/>
            <w:vAlign w:val="bottom"/>
            <w:shd w:val="clear" w:color="auto" w:fill="BFBFBF"/>
          </w:tcPr>
          <w:p>
            <w:pPr>
              <w:spacing w:after="0"/>
              <w:rPr>
                <w:sz w:val="20"/>
                <w:szCs w:val="20"/>
                <w:color w:val="auto"/>
              </w:rPr>
            </w:pPr>
          </w:p>
        </w:tc>
        <w:tc>
          <w:tcPr>
            <w:tcW w:w="240" w:type="dxa"/>
            <w:vAlign w:val="bottom"/>
            <w:shd w:val="clear" w:color="auto" w:fill="BFBFBF"/>
          </w:tcPr>
          <w:p>
            <w:pPr>
              <w:spacing w:after="0"/>
              <w:rPr>
                <w:sz w:val="20"/>
                <w:szCs w:val="20"/>
                <w:color w:val="auto"/>
              </w:rPr>
            </w:pPr>
          </w:p>
        </w:tc>
        <w:tc>
          <w:tcPr>
            <w:tcW w:w="180" w:type="dxa"/>
            <w:vAlign w:val="bottom"/>
            <w:shd w:val="clear" w:color="auto" w:fill="BFBFBF"/>
          </w:tcPr>
          <w:p>
            <w:pPr>
              <w:spacing w:after="0"/>
              <w:rPr>
                <w:sz w:val="20"/>
                <w:szCs w:val="20"/>
                <w:color w:val="auto"/>
              </w:rPr>
            </w:pPr>
          </w:p>
        </w:tc>
        <w:tc>
          <w:tcPr>
            <w:tcW w:w="5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820" w:type="dxa"/>
            <w:vAlign w:val="bottom"/>
            <w:tcBorders>
              <w:right w:val="single" w:sz="8" w:color="BFBFBF"/>
            </w:tcBorders>
            <w:shd w:val="clear" w:color="auto" w:fill="BFBFBF"/>
          </w:tcPr>
          <w:p>
            <w:pPr>
              <w:spacing w:after="0"/>
              <w:rPr>
                <w:sz w:val="24"/>
                <w:szCs w:val="24"/>
                <w:color w:val="auto"/>
              </w:rPr>
            </w:pPr>
          </w:p>
        </w:tc>
        <w:tc>
          <w:tcPr>
            <w:tcW w:w="2200" w:type="dxa"/>
            <w:vAlign w:val="bottom"/>
            <w:tcBorders>
              <w:right w:val="single" w:sz="8" w:color="BFBFBF"/>
            </w:tcBorders>
            <w:shd w:val="clear" w:color="auto" w:fill="BFBFBF"/>
          </w:tcPr>
          <w:p>
            <w:pPr>
              <w:spacing w:after="0"/>
              <w:rPr>
                <w:sz w:val="24"/>
                <w:szCs w:val="24"/>
                <w:color w:val="auto"/>
              </w:rPr>
            </w:pPr>
          </w:p>
        </w:tc>
        <w:tc>
          <w:tcPr>
            <w:tcW w:w="234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1140" w:type="dxa"/>
            <w:vAlign w:val="bottom"/>
            <w:tcBorders>
              <w:bottom w:val="single" w:sz="8" w:color="auto"/>
            </w:tcBorders>
            <w:shd w:val="clear" w:color="auto" w:fill="BFBFBF"/>
          </w:tcPr>
          <w:p>
            <w:pPr>
              <w:spacing w:after="0"/>
              <w:rPr>
                <w:sz w:val="23"/>
                <w:szCs w:val="23"/>
                <w:color w:val="auto"/>
              </w:rPr>
            </w:pPr>
          </w:p>
        </w:tc>
        <w:tc>
          <w:tcPr>
            <w:tcW w:w="8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SOLE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1,073,923*</w:t>
            </w:r>
          </w:p>
        </w:tc>
        <w:tc>
          <w:tcPr>
            <w:tcW w:w="2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636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DISPOSITIVE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1,073,923*</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1,073,923*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520" w:type="dxa"/>
            <w:vAlign w:val="bottom"/>
            <w:tcBorders>
              <w:bottom w:val="single" w:sz="8" w:color="auto"/>
            </w:tcBorders>
            <w:gridSpan w:val="5"/>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12"/>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02"/>
        </w:trPr>
        <w:tc>
          <w:tcPr>
            <w:tcW w:w="2260" w:type="dxa"/>
            <w:vAlign w:val="bottom"/>
            <w:tcBorders>
              <w:top w:val="single" w:sz="8" w:color="auto"/>
              <w:left w:val="single" w:sz="8" w:color="auto"/>
            </w:tcBorders>
            <w:gridSpan w:val="3"/>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2340" w:type="dxa"/>
            <w:vAlign w:val="bottom"/>
            <w:tcBorders>
              <w:top w:val="single" w:sz="8" w:color="auto"/>
            </w:tcBorders>
          </w:tcPr>
          <w:p>
            <w:pPr>
              <w:spacing w:after="0"/>
              <w:rPr>
                <w:sz w:val="17"/>
                <w:szCs w:val="17"/>
                <w:color w:val="auto"/>
              </w:rPr>
            </w:pPr>
          </w:p>
        </w:tc>
        <w:tc>
          <w:tcPr>
            <w:tcW w:w="2180" w:type="dxa"/>
            <w:vAlign w:val="bottom"/>
            <w:tcBorders>
              <w:top w:val="single" w:sz="8" w:color="auto"/>
              <w:right w:val="single" w:sz="8" w:color="auto"/>
            </w:tcBorders>
            <w:gridSpan w:val="5"/>
          </w:tcPr>
          <w:p>
            <w:pPr>
              <w:ind w:left="720"/>
              <w:spacing w:after="0" w:line="202" w:lineRule="exact"/>
              <w:rPr>
                <w:sz w:val="20"/>
                <w:szCs w:val="20"/>
                <w:color w:val="auto"/>
              </w:rPr>
            </w:pPr>
            <w:r>
              <w:rPr>
                <w:rFonts w:ascii="Arial" w:cs="Arial" w:eastAsia="Arial" w:hAnsi="Arial"/>
                <w:sz w:val="18"/>
                <w:szCs w:val="18"/>
                <w:b w:val="1"/>
                <w:bCs w:val="1"/>
                <w:color w:val="auto"/>
                <w:w w:val="87"/>
              </w:rPr>
              <w:t>Page 8 of 17 Pages</w:t>
            </w:r>
          </w:p>
        </w:tc>
        <w:tc>
          <w:tcPr>
            <w:tcW w:w="0" w:type="dxa"/>
            <w:vAlign w:val="bottom"/>
          </w:tcPr>
          <w:p>
            <w:pPr>
              <w:spacing w:after="0"/>
              <w:rPr>
                <w:sz w:val="1"/>
                <w:szCs w:val="1"/>
                <w:color w:val="auto"/>
              </w:rPr>
            </w:pPr>
          </w:p>
        </w:tc>
      </w:tr>
      <w:tr>
        <w:trPr>
          <w:trHeight w:val="28"/>
        </w:trPr>
        <w:tc>
          <w:tcPr>
            <w:tcW w:w="140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80" w:type="dxa"/>
            <w:vAlign w:val="bottom"/>
            <w:gridSpan w:val="7"/>
          </w:tcPr>
          <w:p>
            <w:pPr>
              <w:ind w:left="40"/>
              <w:spacing w:after="0"/>
              <w:rPr>
                <w:sz w:val="20"/>
                <w:szCs w:val="20"/>
                <w:color w:val="auto"/>
              </w:rPr>
            </w:pPr>
            <w:r>
              <w:rPr>
                <w:rFonts w:ascii="Arial" w:cs="Arial" w:eastAsia="Arial" w:hAnsi="Arial"/>
                <w:sz w:val="18"/>
                <w:szCs w:val="18"/>
                <w:color w:val="auto"/>
              </w:rPr>
              <w:t>O. Andreas Halvorsen</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820" w:type="dxa"/>
            <w:vAlign w:val="bottom"/>
            <w:tcBorders>
              <w:right w:val="single" w:sz="8" w:color="BFBFBF"/>
            </w:tcBorders>
            <w:shd w:val="clear" w:color="auto" w:fill="BFBFBF"/>
          </w:tcPr>
          <w:p>
            <w:pPr>
              <w:spacing w:after="0"/>
              <w:rPr>
                <w:sz w:val="20"/>
                <w:szCs w:val="20"/>
                <w:color w:val="auto"/>
              </w:rPr>
            </w:pPr>
          </w:p>
        </w:tc>
        <w:tc>
          <w:tcPr>
            <w:tcW w:w="2200" w:type="dxa"/>
            <w:vAlign w:val="bottom"/>
            <w:tcBorders>
              <w:right w:val="single" w:sz="8" w:color="BFBFBF"/>
            </w:tcBorders>
            <w:shd w:val="clear" w:color="auto" w:fill="BFBFBF"/>
          </w:tcPr>
          <w:p>
            <w:pPr>
              <w:spacing w:after="0"/>
              <w:rPr>
                <w:sz w:val="20"/>
                <w:szCs w:val="20"/>
                <w:color w:val="auto"/>
              </w:rPr>
            </w:pPr>
          </w:p>
        </w:tc>
        <w:tc>
          <w:tcPr>
            <w:tcW w:w="2340" w:type="dxa"/>
            <w:vAlign w:val="bottom"/>
            <w:shd w:val="clear" w:color="auto" w:fill="BFBFBF"/>
          </w:tcPr>
          <w:p>
            <w:pPr>
              <w:spacing w:after="0"/>
              <w:rPr>
                <w:sz w:val="20"/>
                <w:szCs w:val="20"/>
                <w:color w:val="auto"/>
              </w:rPr>
            </w:pPr>
          </w:p>
        </w:tc>
        <w:tc>
          <w:tcPr>
            <w:tcW w:w="1140" w:type="dxa"/>
            <w:vAlign w:val="bottom"/>
            <w:shd w:val="clear" w:color="auto" w:fill="BFBFBF"/>
          </w:tcPr>
          <w:p>
            <w:pPr>
              <w:spacing w:after="0"/>
              <w:rPr>
                <w:sz w:val="20"/>
                <w:szCs w:val="20"/>
                <w:color w:val="auto"/>
              </w:rPr>
            </w:pPr>
          </w:p>
        </w:tc>
        <w:tc>
          <w:tcPr>
            <w:tcW w:w="80" w:type="dxa"/>
            <w:vAlign w:val="bottom"/>
            <w:shd w:val="clear" w:color="auto" w:fill="BFBFBF"/>
          </w:tcPr>
          <w:p>
            <w:pPr>
              <w:spacing w:after="0"/>
              <w:rPr>
                <w:sz w:val="20"/>
                <w:szCs w:val="20"/>
                <w:color w:val="auto"/>
              </w:rPr>
            </w:pPr>
          </w:p>
        </w:tc>
        <w:tc>
          <w:tcPr>
            <w:tcW w:w="240" w:type="dxa"/>
            <w:vAlign w:val="bottom"/>
            <w:shd w:val="clear" w:color="auto" w:fill="BFBFBF"/>
          </w:tcPr>
          <w:p>
            <w:pPr>
              <w:spacing w:after="0"/>
              <w:rPr>
                <w:sz w:val="20"/>
                <w:szCs w:val="20"/>
                <w:color w:val="auto"/>
              </w:rPr>
            </w:pPr>
          </w:p>
        </w:tc>
        <w:tc>
          <w:tcPr>
            <w:tcW w:w="180" w:type="dxa"/>
            <w:vAlign w:val="bottom"/>
            <w:shd w:val="clear" w:color="auto" w:fill="BFBFBF"/>
          </w:tcPr>
          <w:p>
            <w:pPr>
              <w:spacing w:after="0"/>
              <w:rPr>
                <w:sz w:val="20"/>
                <w:szCs w:val="20"/>
                <w:color w:val="auto"/>
              </w:rPr>
            </w:pPr>
          </w:p>
        </w:tc>
        <w:tc>
          <w:tcPr>
            <w:tcW w:w="5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820" w:type="dxa"/>
            <w:vAlign w:val="bottom"/>
            <w:tcBorders>
              <w:right w:val="single" w:sz="8" w:color="BFBFBF"/>
            </w:tcBorders>
            <w:shd w:val="clear" w:color="auto" w:fill="BFBFBF"/>
          </w:tcPr>
          <w:p>
            <w:pPr>
              <w:spacing w:after="0"/>
              <w:rPr>
                <w:sz w:val="24"/>
                <w:szCs w:val="24"/>
                <w:color w:val="auto"/>
              </w:rPr>
            </w:pPr>
          </w:p>
        </w:tc>
        <w:tc>
          <w:tcPr>
            <w:tcW w:w="2200" w:type="dxa"/>
            <w:vAlign w:val="bottom"/>
            <w:tcBorders>
              <w:right w:val="single" w:sz="8" w:color="BFBFBF"/>
            </w:tcBorders>
            <w:shd w:val="clear" w:color="auto" w:fill="BFBFBF"/>
          </w:tcPr>
          <w:p>
            <w:pPr>
              <w:spacing w:after="0"/>
              <w:rPr>
                <w:sz w:val="24"/>
                <w:szCs w:val="24"/>
                <w:color w:val="auto"/>
              </w:rPr>
            </w:pPr>
          </w:p>
        </w:tc>
        <w:tc>
          <w:tcPr>
            <w:tcW w:w="234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1140" w:type="dxa"/>
            <w:vAlign w:val="bottom"/>
            <w:tcBorders>
              <w:bottom w:val="single" w:sz="8" w:color="auto"/>
            </w:tcBorders>
            <w:shd w:val="clear" w:color="auto" w:fill="BFBFBF"/>
          </w:tcPr>
          <w:p>
            <w:pPr>
              <w:spacing w:after="0"/>
              <w:rPr>
                <w:sz w:val="23"/>
                <w:szCs w:val="23"/>
                <w:color w:val="auto"/>
              </w:rPr>
            </w:pPr>
          </w:p>
        </w:tc>
        <w:tc>
          <w:tcPr>
            <w:tcW w:w="8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Norway</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SOLE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636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DISPOSITIVE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1,793,923*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520" w:type="dxa"/>
            <w:vAlign w:val="bottom"/>
            <w:tcBorders>
              <w:bottom w:val="single" w:sz="8" w:color="auto"/>
            </w:tcBorders>
            <w:gridSpan w:val="5"/>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12"/>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02"/>
        </w:trPr>
        <w:tc>
          <w:tcPr>
            <w:tcW w:w="2260" w:type="dxa"/>
            <w:vAlign w:val="bottom"/>
            <w:tcBorders>
              <w:top w:val="single" w:sz="8" w:color="auto"/>
              <w:left w:val="single" w:sz="8" w:color="auto"/>
            </w:tcBorders>
            <w:gridSpan w:val="3"/>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2340" w:type="dxa"/>
            <w:vAlign w:val="bottom"/>
            <w:tcBorders>
              <w:top w:val="single" w:sz="8" w:color="auto"/>
            </w:tcBorders>
          </w:tcPr>
          <w:p>
            <w:pPr>
              <w:spacing w:after="0"/>
              <w:rPr>
                <w:sz w:val="17"/>
                <w:szCs w:val="17"/>
                <w:color w:val="auto"/>
              </w:rPr>
            </w:pPr>
          </w:p>
        </w:tc>
        <w:tc>
          <w:tcPr>
            <w:tcW w:w="2180" w:type="dxa"/>
            <w:vAlign w:val="bottom"/>
            <w:tcBorders>
              <w:top w:val="single" w:sz="8" w:color="auto"/>
              <w:right w:val="single" w:sz="8" w:color="auto"/>
            </w:tcBorders>
            <w:gridSpan w:val="5"/>
          </w:tcPr>
          <w:p>
            <w:pPr>
              <w:ind w:left="720"/>
              <w:spacing w:after="0" w:line="202" w:lineRule="exact"/>
              <w:rPr>
                <w:sz w:val="20"/>
                <w:szCs w:val="20"/>
                <w:color w:val="auto"/>
              </w:rPr>
            </w:pPr>
            <w:r>
              <w:rPr>
                <w:rFonts w:ascii="Arial" w:cs="Arial" w:eastAsia="Arial" w:hAnsi="Arial"/>
                <w:sz w:val="18"/>
                <w:szCs w:val="18"/>
                <w:b w:val="1"/>
                <w:bCs w:val="1"/>
                <w:color w:val="auto"/>
                <w:w w:val="87"/>
              </w:rPr>
              <w:t>Page 9 of 17 Pages</w:t>
            </w:r>
          </w:p>
        </w:tc>
        <w:tc>
          <w:tcPr>
            <w:tcW w:w="0" w:type="dxa"/>
            <w:vAlign w:val="bottom"/>
          </w:tcPr>
          <w:p>
            <w:pPr>
              <w:spacing w:after="0"/>
              <w:rPr>
                <w:sz w:val="1"/>
                <w:szCs w:val="1"/>
                <w:color w:val="auto"/>
              </w:rPr>
            </w:pPr>
          </w:p>
        </w:tc>
      </w:tr>
      <w:tr>
        <w:trPr>
          <w:trHeight w:val="28"/>
        </w:trPr>
        <w:tc>
          <w:tcPr>
            <w:tcW w:w="140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rPr>
              <w:t>David C. Ott</w:t>
            </w: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820" w:type="dxa"/>
            <w:vAlign w:val="bottom"/>
            <w:tcBorders>
              <w:right w:val="single" w:sz="8" w:color="BFBFBF"/>
            </w:tcBorders>
            <w:shd w:val="clear" w:color="auto" w:fill="BFBFBF"/>
          </w:tcPr>
          <w:p>
            <w:pPr>
              <w:spacing w:after="0"/>
              <w:rPr>
                <w:sz w:val="20"/>
                <w:szCs w:val="20"/>
                <w:color w:val="auto"/>
              </w:rPr>
            </w:pPr>
          </w:p>
        </w:tc>
        <w:tc>
          <w:tcPr>
            <w:tcW w:w="2200" w:type="dxa"/>
            <w:vAlign w:val="bottom"/>
            <w:tcBorders>
              <w:right w:val="single" w:sz="8" w:color="BFBFBF"/>
            </w:tcBorders>
            <w:shd w:val="clear" w:color="auto" w:fill="BFBFBF"/>
          </w:tcPr>
          <w:p>
            <w:pPr>
              <w:spacing w:after="0"/>
              <w:rPr>
                <w:sz w:val="20"/>
                <w:szCs w:val="20"/>
                <w:color w:val="auto"/>
              </w:rPr>
            </w:pPr>
          </w:p>
        </w:tc>
        <w:tc>
          <w:tcPr>
            <w:tcW w:w="2340" w:type="dxa"/>
            <w:vAlign w:val="bottom"/>
            <w:shd w:val="clear" w:color="auto" w:fill="BFBFBF"/>
          </w:tcPr>
          <w:p>
            <w:pPr>
              <w:spacing w:after="0"/>
              <w:rPr>
                <w:sz w:val="20"/>
                <w:szCs w:val="20"/>
                <w:color w:val="auto"/>
              </w:rPr>
            </w:pPr>
          </w:p>
        </w:tc>
        <w:tc>
          <w:tcPr>
            <w:tcW w:w="1140" w:type="dxa"/>
            <w:vAlign w:val="bottom"/>
            <w:shd w:val="clear" w:color="auto" w:fill="BFBFBF"/>
          </w:tcPr>
          <w:p>
            <w:pPr>
              <w:spacing w:after="0"/>
              <w:rPr>
                <w:sz w:val="20"/>
                <w:szCs w:val="20"/>
                <w:color w:val="auto"/>
              </w:rPr>
            </w:pPr>
          </w:p>
        </w:tc>
        <w:tc>
          <w:tcPr>
            <w:tcW w:w="80" w:type="dxa"/>
            <w:vAlign w:val="bottom"/>
            <w:shd w:val="clear" w:color="auto" w:fill="BFBFBF"/>
          </w:tcPr>
          <w:p>
            <w:pPr>
              <w:spacing w:after="0"/>
              <w:rPr>
                <w:sz w:val="20"/>
                <w:szCs w:val="20"/>
                <w:color w:val="auto"/>
              </w:rPr>
            </w:pPr>
          </w:p>
        </w:tc>
        <w:tc>
          <w:tcPr>
            <w:tcW w:w="240" w:type="dxa"/>
            <w:vAlign w:val="bottom"/>
            <w:shd w:val="clear" w:color="auto" w:fill="BFBFBF"/>
          </w:tcPr>
          <w:p>
            <w:pPr>
              <w:spacing w:after="0"/>
              <w:rPr>
                <w:sz w:val="20"/>
                <w:szCs w:val="20"/>
                <w:color w:val="auto"/>
              </w:rPr>
            </w:pPr>
          </w:p>
        </w:tc>
        <w:tc>
          <w:tcPr>
            <w:tcW w:w="180" w:type="dxa"/>
            <w:vAlign w:val="bottom"/>
            <w:shd w:val="clear" w:color="auto" w:fill="BFBFBF"/>
          </w:tcPr>
          <w:p>
            <w:pPr>
              <w:spacing w:after="0"/>
              <w:rPr>
                <w:sz w:val="20"/>
                <w:szCs w:val="20"/>
                <w:color w:val="auto"/>
              </w:rPr>
            </w:pPr>
          </w:p>
        </w:tc>
        <w:tc>
          <w:tcPr>
            <w:tcW w:w="5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820" w:type="dxa"/>
            <w:vAlign w:val="bottom"/>
            <w:tcBorders>
              <w:right w:val="single" w:sz="8" w:color="BFBFBF"/>
            </w:tcBorders>
            <w:shd w:val="clear" w:color="auto" w:fill="BFBFBF"/>
          </w:tcPr>
          <w:p>
            <w:pPr>
              <w:spacing w:after="0"/>
              <w:rPr>
                <w:sz w:val="24"/>
                <w:szCs w:val="24"/>
                <w:color w:val="auto"/>
              </w:rPr>
            </w:pPr>
          </w:p>
        </w:tc>
        <w:tc>
          <w:tcPr>
            <w:tcW w:w="2200" w:type="dxa"/>
            <w:vAlign w:val="bottom"/>
            <w:tcBorders>
              <w:right w:val="single" w:sz="8" w:color="BFBFBF"/>
            </w:tcBorders>
            <w:shd w:val="clear" w:color="auto" w:fill="BFBFBF"/>
          </w:tcPr>
          <w:p>
            <w:pPr>
              <w:spacing w:after="0"/>
              <w:rPr>
                <w:sz w:val="24"/>
                <w:szCs w:val="24"/>
                <w:color w:val="auto"/>
              </w:rPr>
            </w:pPr>
          </w:p>
        </w:tc>
        <w:tc>
          <w:tcPr>
            <w:tcW w:w="234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4"/>
            <w:shd w:val="clear" w:color="auto" w:fill="BFBFBF"/>
          </w:tcPr>
          <w:p>
            <w:pPr>
              <w:spacing w:after="0"/>
              <w:rPr>
                <w:sz w:val="23"/>
                <w:szCs w:val="23"/>
                <w:color w:val="auto"/>
              </w:rPr>
            </w:pPr>
          </w:p>
        </w:tc>
        <w:tc>
          <w:tcPr>
            <w:tcW w:w="1140" w:type="dxa"/>
            <w:vAlign w:val="bottom"/>
            <w:tcBorders>
              <w:bottom w:val="single" w:sz="8" w:color="auto"/>
            </w:tcBorders>
            <w:shd w:val="clear" w:color="auto" w:fill="BFBFBF"/>
          </w:tcPr>
          <w:p>
            <w:pPr>
              <w:spacing w:after="0"/>
              <w:rPr>
                <w:sz w:val="23"/>
                <w:szCs w:val="23"/>
                <w:color w:val="auto"/>
              </w:rPr>
            </w:pPr>
          </w:p>
        </w:tc>
        <w:tc>
          <w:tcPr>
            <w:tcW w:w="8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rPr>
              <w:t>United States</w:t>
            </w: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SOLE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VOTING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636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SHARED DISPOSITIVE POWER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1,793,923*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520" w:type="dxa"/>
            <w:vAlign w:val="bottom"/>
            <w:tcBorders>
              <w:bottom w:val="single" w:sz="8" w:color="auto"/>
            </w:tcBorders>
            <w:gridSpan w:val="5"/>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12"/>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68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02"/>
        </w:trPr>
        <w:tc>
          <w:tcPr>
            <w:tcW w:w="2260" w:type="dxa"/>
            <w:vAlign w:val="bottom"/>
            <w:tcBorders>
              <w:top w:val="single" w:sz="8" w:color="auto"/>
              <w:left w:val="single" w:sz="8" w:color="auto"/>
            </w:tcBorders>
            <w:gridSpan w:val="3"/>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2300" w:type="dxa"/>
            <w:vAlign w:val="bottom"/>
            <w:tcBorders>
              <w:top w:val="single" w:sz="8" w:color="auto"/>
            </w:tcBorders>
          </w:tcPr>
          <w:p>
            <w:pPr>
              <w:spacing w:after="0"/>
              <w:rPr>
                <w:sz w:val="17"/>
                <w:szCs w:val="17"/>
                <w:color w:val="auto"/>
              </w:rPr>
            </w:pPr>
          </w:p>
        </w:tc>
        <w:tc>
          <w:tcPr>
            <w:tcW w:w="2220" w:type="dxa"/>
            <w:vAlign w:val="bottom"/>
            <w:tcBorders>
              <w:top w:val="single" w:sz="8" w:color="auto"/>
              <w:right w:val="single" w:sz="8" w:color="auto"/>
            </w:tcBorders>
            <w:gridSpan w:val="5"/>
          </w:tcPr>
          <w:p>
            <w:pPr>
              <w:ind w:left="680"/>
              <w:spacing w:after="0" w:line="202" w:lineRule="exact"/>
              <w:rPr>
                <w:sz w:val="20"/>
                <w:szCs w:val="20"/>
                <w:color w:val="auto"/>
              </w:rPr>
            </w:pPr>
            <w:r>
              <w:rPr>
                <w:rFonts w:ascii="Arial" w:cs="Arial" w:eastAsia="Arial" w:hAnsi="Arial"/>
                <w:sz w:val="18"/>
                <w:szCs w:val="18"/>
                <w:b w:val="1"/>
                <w:bCs w:val="1"/>
                <w:color w:val="auto"/>
                <w:w w:val="86"/>
              </w:rPr>
              <w:t>Page 10 of 17 Pages</w:t>
            </w:r>
          </w:p>
        </w:tc>
        <w:tc>
          <w:tcPr>
            <w:tcW w:w="0" w:type="dxa"/>
            <w:vAlign w:val="bottom"/>
          </w:tcPr>
          <w:p>
            <w:pPr>
              <w:spacing w:after="0"/>
              <w:rPr>
                <w:sz w:val="1"/>
                <w:szCs w:val="1"/>
                <w:color w:val="auto"/>
              </w:rPr>
            </w:pPr>
          </w:p>
        </w:tc>
      </w:tr>
      <w:tr>
        <w:trPr>
          <w:trHeight w:val="28"/>
        </w:trPr>
        <w:tc>
          <w:tcPr>
            <w:tcW w:w="140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640" w:type="dxa"/>
            <w:vAlign w:val="bottom"/>
            <w:tcBorders>
              <w:bottom w:val="single" w:sz="8" w:color="auto"/>
            </w:tcBorders>
            <w:gridSpan w:val="7"/>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64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w w:val="99"/>
              </w:rPr>
              <w:t>Rose S. Shabet</w:t>
            </w: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7640" w:type="dxa"/>
            <w:vAlign w:val="bottom"/>
            <w:tcBorders>
              <w:bottom w:val="single" w:sz="8" w:color="auto"/>
            </w:tcBorders>
            <w:gridSpan w:val="7"/>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64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820" w:type="dxa"/>
            <w:vAlign w:val="bottom"/>
            <w:tcBorders>
              <w:right w:val="single" w:sz="8" w:color="BFBFBF"/>
            </w:tcBorders>
            <w:shd w:val="clear" w:color="auto" w:fill="BFBFBF"/>
          </w:tcPr>
          <w:p>
            <w:pPr>
              <w:spacing w:after="0"/>
              <w:rPr>
                <w:sz w:val="20"/>
                <w:szCs w:val="20"/>
                <w:color w:val="auto"/>
              </w:rPr>
            </w:pPr>
          </w:p>
        </w:tc>
        <w:tc>
          <w:tcPr>
            <w:tcW w:w="2200" w:type="dxa"/>
            <w:vAlign w:val="bottom"/>
            <w:tcBorders>
              <w:right w:val="single" w:sz="8" w:color="BFBFBF"/>
            </w:tcBorders>
            <w:shd w:val="clear" w:color="auto" w:fill="BFBFBF"/>
          </w:tcPr>
          <w:p>
            <w:pPr>
              <w:spacing w:after="0"/>
              <w:rPr>
                <w:sz w:val="20"/>
                <w:szCs w:val="20"/>
                <w:color w:val="auto"/>
              </w:rPr>
            </w:pPr>
          </w:p>
        </w:tc>
        <w:tc>
          <w:tcPr>
            <w:tcW w:w="2300" w:type="dxa"/>
            <w:vAlign w:val="bottom"/>
            <w:shd w:val="clear" w:color="auto" w:fill="BFBFBF"/>
          </w:tcPr>
          <w:p>
            <w:pPr>
              <w:spacing w:after="0"/>
              <w:rPr>
                <w:sz w:val="20"/>
                <w:szCs w:val="20"/>
                <w:color w:val="auto"/>
              </w:rPr>
            </w:pPr>
          </w:p>
        </w:tc>
        <w:tc>
          <w:tcPr>
            <w:tcW w:w="1080" w:type="dxa"/>
            <w:vAlign w:val="bottom"/>
            <w:shd w:val="clear" w:color="auto" w:fill="BFBFBF"/>
          </w:tcPr>
          <w:p>
            <w:pPr>
              <w:spacing w:after="0"/>
              <w:rPr>
                <w:sz w:val="20"/>
                <w:szCs w:val="20"/>
                <w:color w:val="auto"/>
              </w:rPr>
            </w:pPr>
          </w:p>
        </w:tc>
        <w:tc>
          <w:tcPr>
            <w:tcW w:w="180" w:type="dxa"/>
            <w:vAlign w:val="bottom"/>
            <w:shd w:val="clear" w:color="auto" w:fill="BFBFBF"/>
          </w:tcPr>
          <w:p>
            <w:pPr>
              <w:spacing w:after="0"/>
              <w:rPr>
                <w:sz w:val="20"/>
                <w:szCs w:val="20"/>
                <w:color w:val="auto"/>
              </w:rPr>
            </w:pPr>
          </w:p>
        </w:tc>
        <w:tc>
          <w:tcPr>
            <w:tcW w:w="240" w:type="dxa"/>
            <w:vAlign w:val="bottom"/>
            <w:shd w:val="clear" w:color="auto" w:fill="BFBFBF"/>
          </w:tcPr>
          <w:p>
            <w:pPr>
              <w:spacing w:after="0"/>
              <w:rPr>
                <w:sz w:val="20"/>
                <w:szCs w:val="20"/>
                <w:color w:val="auto"/>
              </w:rPr>
            </w:pPr>
          </w:p>
        </w:tc>
        <w:tc>
          <w:tcPr>
            <w:tcW w:w="180" w:type="dxa"/>
            <w:vAlign w:val="bottom"/>
            <w:shd w:val="clear" w:color="auto" w:fill="BFBFBF"/>
          </w:tcPr>
          <w:p>
            <w:pPr>
              <w:spacing w:after="0"/>
              <w:rPr>
                <w:sz w:val="20"/>
                <w:szCs w:val="20"/>
                <w:color w:val="auto"/>
              </w:rPr>
            </w:pPr>
          </w:p>
        </w:tc>
        <w:tc>
          <w:tcPr>
            <w:tcW w:w="5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820" w:type="dxa"/>
            <w:vAlign w:val="bottom"/>
            <w:tcBorders>
              <w:right w:val="single" w:sz="8" w:color="BFBFBF"/>
            </w:tcBorders>
            <w:shd w:val="clear" w:color="auto" w:fill="BFBFBF"/>
          </w:tcPr>
          <w:p>
            <w:pPr>
              <w:spacing w:after="0"/>
              <w:rPr>
                <w:sz w:val="24"/>
                <w:szCs w:val="24"/>
                <w:color w:val="auto"/>
              </w:rPr>
            </w:pPr>
          </w:p>
        </w:tc>
        <w:tc>
          <w:tcPr>
            <w:tcW w:w="2200" w:type="dxa"/>
            <w:vAlign w:val="bottom"/>
            <w:tcBorders>
              <w:right w:val="single" w:sz="8" w:color="BFBFBF"/>
            </w:tcBorders>
            <w:shd w:val="clear" w:color="auto" w:fill="BFBFBF"/>
          </w:tcPr>
          <w:p>
            <w:pPr>
              <w:spacing w:after="0"/>
              <w:rPr>
                <w:sz w:val="24"/>
                <w:szCs w:val="24"/>
                <w:color w:val="auto"/>
              </w:rPr>
            </w:pPr>
          </w:p>
        </w:tc>
        <w:tc>
          <w:tcPr>
            <w:tcW w:w="2300" w:type="dxa"/>
            <w:vAlign w:val="bottom"/>
            <w:shd w:val="clear" w:color="auto" w:fill="BFBFBF"/>
          </w:tcPr>
          <w:p>
            <w:pPr>
              <w:spacing w:after="0"/>
              <w:rPr>
                <w:sz w:val="24"/>
                <w:szCs w:val="24"/>
                <w:color w:val="auto"/>
              </w:rPr>
            </w:pPr>
          </w:p>
        </w:tc>
        <w:tc>
          <w:tcPr>
            <w:tcW w:w="1080" w:type="dxa"/>
            <w:vAlign w:val="bottom"/>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40" w:type="dxa"/>
            <w:vAlign w:val="bottom"/>
            <w:tcBorders>
              <w:bottom w:val="single" w:sz="8" w:color="auto"/>
            </w:tcBorders>
            <w:gridSpan w:val="4"/>
            <w:shd w:val="clear" w:color="auto" w:fill="BFBFBF"/>
          </w:tcPr>
          <w:p>
            <w:pPr>
              <w:spacing w:after="0"/>
              <w:rPr>
                <w:sz w:val="23"/>
                <w:szCs w:val="23"/>
                <w:color w:val="auto"/>
              </w:rPr>
            </w:pPr>
          </w:p>
        </w:tc>
        <w:tc>
          <w:tcPr>
            <w:tcW w:w="1080" w:type="dxa"/>
            <w:vAlign w:val="bottom"/>
            <w:tcBorders>
              <w:bottom w:val="single" w:sz="8" w:color="auto"/>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64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rPr>
              <w:t>United States</w:t>
            </w: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SOLE VOTING POWER</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SHARED VOTING POWER</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632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gridSpan w:val="3"/>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SHARED DISPOSITIVE POWER</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1,793,923*</w:t>
            </w:r>
          </w:p>
        </w:tc>
        <w:tc>
          <w:tcPr>
            <w:tcW w:w="2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40" w:type="dxa"/>
            <w:vAlign w:val="bottom"/>
            <w:tcBorders>
              <w:bottom w:val="single" w:sz="8" w:color="auto"/>
            </w:tcBorders>
            <w:gridSpan w:val="4"/>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1,793,923*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420" w:type="dxa"/>
            <w:vAlign w:val="bottom"/>
            <w:tcBorders>
              <w:bottom w:val="single" w:sz="8" w:color="auto"/>
            </w:tcBorders>
            <w:gridSpan w:val="5"/>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12"/>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40" w:type="dxa"/>
            <w:vAlign w:val="bottom"/>
            <w:tcBorders>
              <w:bottom w:val="single" w:sz="8" w:color="auto"/>
            </w:tcBorders>
            <w:gridSpan w:val="4"/>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64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40" w:type="dxa"/>
            <w:vAlign w:val="bottom"/>
            <w:tcBorders>
              <w:bottom w:val="single" w:sz="8" w:color="auto"/>
            </w:tcBorders>
            <w:gridSpan w:val="4"/>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64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03"/>
        </w:trPr>
        <w:tc>
          <w:tcPr>
            <w:tcW w:w="4540" w:type="dxa"/>
            <w:vAlign w:val="bottom"/>
            <w:tcBorders>
              <w:top w:val="single" w:sz="8" w:color="auto"/>
              <w:left w:val="single" w:sz="8" w:color="auto"/>
              <w:right w:val="single" w:sz="8" w:color="auto"/>
            </w:tcBorders>
            <w:gridSpan w:val="3"/>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4500" w:type="dxa"/>
            <w:vAlign w:val="bottom"/>
            <w:tcBorders>
              <w:top w:val="single" w:sz="8" w:color="auto"/>
              <w:right w:val="single" w:sz="8" w:color="auto"/>
            </w:tcBorders>
            <w:gridSpan w:val="5"/>
          </w:tcPr>
          <w:p>
            <w:pPr>
              <w:ind w:left="2980"/>
              <w:spacing w:after="0" w:line="202" w:lineRule="exact"/>
              <w:rPr>
                <w:sz w:val="20"/>
                <w:szCs w:val="20"/>
                <w:color w:val="auto"/>
              </w:rPr>
            </w:pPr>
            <w:r>
              <w:rPr>
                <w:rFonts w:ascii="Arial" w:cs="Arial" w:eastAsia="Arial" w:hAnsi="Arial"/>
                <w:sz w:val="18"/>
                <w:szCs w:val="18"/>
                <w:b w:val="1"/>
                <w:bCs w:val="1"/>
                <w:color w:val="auto"/>
                <w:w w:val="85"/>
              </w:rPr>
              <w:t>Page 11 of 17 Pages</w:t>
            </w:r>
          </w:p>
        </w:tc>
      </w:tr>
      <w:tr>
        <w:trPr>
          <w:trHeight w:val="28"/>
        </w:trPr>
        <w:tc>
          <w:tcPr>
            <w:tcW w:w="130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Item 1(a).</w:t>
            </w:r>
          </w:p>
        </w:tc>
        <w:tc>
          <w:tcPr>
            <w:tcW w:w="324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22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49"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PepGen Inc.</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245 Main Street, Cambridge, Massachusetts, 02142</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2(a)</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Viking Global Investors LP (“VGI”),</w:t>
      </w:r>
    </w:p>
    <w:p>
      <w:pPr>
        <w:ind w:left="1360"/>
        <w:spacing w:after="0" w:line="238" w:lineRule="auto"/>
        <w:rPr>
          <w:sz w:val="20"/>
          <w:szCs w:val="20"/>
          <w:color w:val="auto"/>
        </w:rPr>
      </w:pPr>
      <w:r>
        <w:rPr>
          <w:rFonts w:ascii="Arial" w:cs="Arial" w:eastAsia="Arial" w:hAnsi="Arial"/>
          <w:sz w:val="22"/>
          <w:szCs w:val="22"/>
          <w:color w:val="auto"/>
        </w:rPr>
        <w:t>Viking Global Opportunities Parent GP LLC (“Opportunities Parent”),</w:t>
      </w:r>
    </w:p>
    <w:p>
      <w:pPr>
        <w:ind w:left="1360"/>
        <w:spacing w:after="0" w:line="230" w:lineRule="auto"/>
        <w:rPr>
          <w:sz w:val="20"/>
          <w:szCs w:val="20"/>
          <w:color w:val="auto"/>
        </w:rPr>
      </w:pPr>
      <w:r>
        <w:rPr>
          <w:rFonts w:ascii="Arial" w:cs="Arial" w:eastAsia="Arial" w:hAnsi="Arial"/>
          <w:sz w:val="22"/>
          <w:szCs w:val="22"/>
          <w:color w:val="auto"/>
        </w:rPr>
        <w:t>Viking Global Opportunities GP LLC (“Opportunities GP”),</w:t>
      </w:r>
    </w:p>
    <w:p>
      <w:pPr>
        <w:ind w:left="1360"/>
        <w:spacing w:after="0" w:line="231" w:lineRule="auto"/>
        <w:rPr>
          <w:sz w:val="20"/>
          <w:szCs w:val="20"/>
          <w:color w:val="auto"/>
        </w:rPr>
      </w:pPr>
      <w:r>
        <w:rPr>
          <w:rFonts w:ascii="Arial" w:cs="Arial" w:eastAsia="Arial" w:hAnsi="Arial"/>
          <w:sz w:val="22"/>
          <w:szCs w:val="22"/>
          <w:color w:val="auto"/>
        </w:rPr>
        <w:t>Viking Global Opportunities Portfolio GP LLC (“Opportunities Portfolio GP”),</w:t>
      </w:r>
    </w:p>
    <w:p>
      <w:pPr>
        <w:ind w:left="1360"/>
        <w:spacing w:after="0" w:line="230" w:lineRule="auto"/>
        <w:rPr>
          <w:sz w:val="20"/>
          <w:szCs w:val="20"/>
          <w:color w:val="auto"/>
        </w:rPr>
      </w:pPr>
      <w:r>
        <w:rPr>
          <w:rFonts w:ascii="Arial" w:cs="Arial" w:eastAsia="Arial" w:hAnsi="Arial"/>
          <w:sz w:val="22"/>
          <w:szCs w:val="22"/>
          <w:color w:val="auto"/>
        </w:rPr>
        <w:t>Viking Global Opportunities Illiquid Investments Sub-Master LP (“VGOP”),</w:t>
      </w:r>
    </w:p>
    <w:p>
      <w:pPr>
        <w:ind w:left="1360"/>
        <w:spacing w:after="0" w:line="231" w:lineRule="auto"/>
        <w:rPr>
          <w:sz w:val="20"/>
          <w:szCs w:val="20"/>
          <w:color w:val="auto"/>
        </w:rPr>
      </w:pPr>
      <w:r>
        <w:rPr>
          <w:rFonts w:ascii="Arial" w:cs="Arial" w:eastAsia="Arial" w:hAnsi="Arial"/>
          <w:sz w:val="22"/>
          <w:szCs w:val="22"/>
          <w:color w:val="auto"/>
        </w:rPr>
        <w:t>KAVRA 16 LLC (“KAVRA 16”),</w:t>
      </w:r>
    </w:p>
    <w:p>
      <w:pPr>
        <w:ind w:left="1360"/>
        <w:spacing w:after="0"/>
        <w:rPr>
          <w:sz w:val="20"/>
          <w:szCs w:val="20"/>
          <w:color w:val="auto"/>
        </w:rPr>
      </w:pPr>
      <w:r>
        <w:rPr>
          <w:rFonts w:ascii="Arial" w:cs="Arial" w:eastAsia="Arial" w:hAnsi="Arial"/>
          <w:sz w:val="22"/>
          <w:szCs w:val="22"/>
          <w:color w:val="auto"/>
        </w:rPr>
        <w:t>O. Andreas Halvorsen, David C. Ott and Rose S. Shabet (collectively, the “Reporting Persons”)</w:t>
      </w: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Principal Business Office or, if none, Residence</w:t>
      </w:r>
      <w:r>
        <w:rPr>
          <w:rFonts w:ascii="Arial" w:cs="Arial" w:eastAsia="Arial" w:hAnsi="Arial"/>
          <w:sz w:val="16"/>
          <w:szCs w:val="16"/>
          <w:color w:val="auto"/>
        </w:rPr>
        <w:t>:</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The business address of each of the Reporting Persons is: 55 Railroad Avenue, Greenwich, Connecticut 06830.</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2(c)</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Citizenship</w:t>
      </w:r>
      <w:r>
        <w:rPr>
          <w:rFonts w:ascii="Arial" w:cs="Arial" w:eastAsia="Arial" w:hAnsi="Arial"/>
          <w:sz w:val="16"/>
          <w:szCs w:val="16"/>
          <w:color w:val="auto"/>
        </w:rPr>
        <w:t>:</w:t>
      </w:r>
    </w:p>
    <w:p>
      <w:pPr>
        <w:spacing w:after="0" w:line="245" w:lineRule="exact"/>
        <w:rPr>
          <w:sz w:val="20"/>
          <w:szCs w:val="20"/>
          <w:color w:val="auto"/>
        </w:rPr>
      </w:pPr>
    </w:p>
    <w:p>
      <w:pPr>
        <w:ind w:right="160" w:firstLine="1346"/>
        <w:spacing w:after="0" w:line="238" w:lineRule="auto"/>
        <w:rPr>
          <w:sz w:val="20"/>
          <w:szCs w:val="20"/>
          <w:color w:val="auto"/>
        </w:rPr>
      </w:pPr>
      <w:r>
        <w:rPr>
          <w:rFonts w:ascii="Arial" w:cs="Arial" w:eastAsia="Arial" w:hAnsi="Arial"/>
          <w:sz w:val="22"/>
          <w:szCs w:val="22"/>
          <w:color w:val="auto"/>
        </w:rPr>
        <w:t>VGI is a Delaware limited partnership; Opportunities Parent, Opportunities GP and Opportunities Portfolio GP are Delaware limited liability companies; VGOP is a Cayman Islands exempted limited partnership; KAVRA 16 is a Delaware limited liability company; O. Andreas Halvorsen is a citizen of Norway; and David C. Ott and Rose S. Shabet are citizens of the United States.</w:t>
      </w: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2(d)</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Titles of Classes of Securities</w:t>
      </w:r>
      <w:r>
        <w:rPr>
          <w:rFonts w:ascii="Arial" w:cs="Arial" w:eastAsia="Arial" w:hAnsi="Arial"/>
          <w:sz w:val="16"/>
          <w:szCs w:val="16"/>
          <w:color w:val="auto"/>
        </w:rPr>
        <w:t>:</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Common stock, $0.0001 par value per share (“Common Stock”)</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CUSIP NUMBER: 713317105</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If This Statement is Filed Pursuant to Rule 13d-1(b), or 13d-2(b) or (c), Check Whether the Person Filing is a</w:t>
      </w:r>
      <w:r>
        <w:rPr>
          <w:rFonts w:ascii="Arial" w:cs="Arial" w:eastAsia="Arial" w:hAnsi="Arial"/>
          <w:sz w:val="16"/>
          <w:szCs w:val="16"/>
          <w:color w:val="auto"/>
        </w:rPr>
        <w:t>:</w:t>
      </w:r>
    </w:p>
    <w:p>
      <w:pPr>
        <w:spacing w:after="0" w:line="219" w:lineRule="exact"/>
        <w:rPr>
          <w:sz w:val="20"/>
          <w:szCs w:val="20"/>
          <w:color w:val="auto"/>
        </w:rPr>
      </w:pPr>
    </w:p>
    <w:p>
      <w:pPr>
        <w:ind w:left="1800" w:hanging="496"/>
        <w:spacing w:after="0" w:line="207" w:lineRule="exact"/>
        <w:tabs>
          <w:tab w:leader="none" w:pos="18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52"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52"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52"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52" w:lineRule="exact"/>
        <w:rPr>
          <w:rFonts w:ascii="Arial" w:cs="Arial" w:eastAsia="Arial" w:hAnsi="Arial"/>
          <w:sz w:val="18"/>
          <w:szCs w:val="18"/>
          <w:color w:val="auto"/>
        </w:rPr>
      </w:pPr>
    </w:p>
    <w:p>
      <w:pPr>
        <w:ind w:left="1800" w:hanging="496"/>
        <w:spacing w:after="0" w:line="196" w:lineRule="exact"/>
        <w:tabs>
          <w:tab w:leader="none" w:pos="1800" w:val="left"/>
        </w:tabs>
        <w:numPr>
          <w:ilvl w:val="0"/>
          <w:numId w:val="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Adviser registered under Section 203 of the Investment Advisers Act of 1940: see Rule 13d-1(b)(1)(ii)(E)</w:t>
      </w:r>
    </w:p>
    <w:p>
      <w:pPr>
        <w:spacing w:after="0" w:line="263" w:lineRule="exact"/>
        <w:rPr>
          <w:rFonts w:ascii="Arial" w:cs="Arial" w:eastAsia="Arial" w:hAnsi="Arial"/>
          <w:sz w:val="17"/>
          <w:szCs w:val="17"/>
          <w:color w:val="auto"/>
        </w:rPr>
      </w:pPr>
    </w:p>
    <w:p>
      <w:pPr>
        <w:ind w:left="1800" w:right="240" w:hanging="496"/>
        <w:spacing w:after="0" w:line="239" w:lineRule="exact"/>
        <w:tabs>
          <w:tab w:leader="none" w:pos="18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Pension Fund which is subject to the provisions of the Employee Retirement Income Security Act of 1974 or Endowment Fund; see Rule 13d-1(b)(1)(ii)(F)</w:t>
      </w:r>
    </w:p>
    <w:p>
      <w:pPr>
        <w:spacing w:after="0" w:line="197"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in accordance with Rule 13d-1(b)(1)(ii)(G).</w:t>
      </w:r>
    </w:p>
    <w:p>
      <w:pPr>
        <w:spacing w:after="0" w:line="252"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03"/>
        </w:trPr>
        <w:tc>
          <w:tcPr>
            <w:tcW w:w="4540" w:type="dxa"/>
            <w:vAlign w:val="bottom"/>
            <w:tcBorders>
              <w:top w:val="single" w:sz="8" w:color="auto"/>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4500" w:type="dxa"/>
            <w:vAlign w:val="bottom"/>
            <w:tcBorders>
              <w:top w:val="single" w:sz="8" w:color="auto"/>
              <w:right w:val="single" w:sz="8" w:color="auto"/>
            </w:tcBorders>
            <w:gridSpan w:val="5"/>
          </w:tcPr>
          <w:p>
            <w:pPr>
              <w:ind w:left="2980"/>
              <w:spacing w:after="0" w:line="202" w:lineRule="exact"/>
              <w:rPr>
                <w:sz w:val="20"/>
                <w:szCs w:val="20"/>
                <w:color w:val="auto"/>
              </w:rPr>
            </w:pPr>
            <w:r>
              <w:rPr>
                <w:rFonts w:ascii="Arial" w:cs="Arial" w:eastAsia="Arial" w:hAnsi="Arial"/>
                <w:sz w:val="18"/>
                <w:szCs w:val="18"/>
                <w:b w:val="1"/>
                <w:bCs w:val="1"/>
                <w:color w:val="auto"/>
                <w:w w:val="85"/>
              </w:rPr>
              <w:t>Page 12 of 17 Pages</w:t>
            </w:r>
          </w:p>
        </w:tc>
      </w:tr>
      <w:tr>
        <w:trPr>
          <w:trHeight w:val="28"/>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bl>
    <w:p>
      <w:pPr>
        <w:spacing w:after="0" w:line="196" w:lineRule="exact"/>
        <w:rPr>
          <w:sz w:val="20"/>
          <w:szCs w:val="20"/>
          <w:color w:val="auto"/>
        </w:rPr>
      </w:pPr>
    </w:p>
    <w:p>
      <w:pPr>
        <w:ind w:left="1800" w:right="100" w:hanging="496"/>
        <w:spacing w:after="0" w:line="239" w:lineRule="exact"/>
        <w:tabs>
          <w:tab w:leader="none" w:pos="18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w:t>
      </w:r>
    </w:p>
    <w:p>
      <w:pPr>
        <w:spacing w:after="0" w:line="197" w:lineRule="exact"/>
        <w:rPr>
          <w:rFonts w:ascii="Arial" w:cs="Arial" w:eastAsia="Arial" w:hAnsi="Arial"/>
          <w:sz w:val="18"/>
          <w:szCs w:val="18"/>
          <w:color w:val="auto"/>
        </w:rPr>
      </w:pPr>
    </w:p>
    <w:p>
      <w:pPr>
        <w:ind w:left="1800" w:hanging="496"/>
        <w:spacing w:after="0" w:line="196" w:lineRule="exact"/>
        <w:tabs>
          <w:tab w:leader="none" w:pos="1800" w:val="left"/>
        </w:tabs>
        <w:numPr>
          <w:ilvl w:val="0"/>
          <w:numId w:val="3"/>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Non-U.S. institution in accordance with Rule 240.13d-1(b)(1)(ii)(J). If filing as a non-U.S. institution in accordance with Rule</w:t>
      </w:r>
    </w:p>
    <w:p>
      <w:pPr>
        <w:spacing w:after="0" w:line="69"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8"/>
          <w:szCs w:val="18"/>
          <w:color w:val="auto"/>
        </w:rPr>
        <w:t>240.13d-1(b)(1)(ii)(J), please specify the type of institution:</w:t>
      </w:r>
    </w:p>
    <w:p>
      <w:pPr>
        <w:spacing w:after="0" w:line="203" w:lineRule="exact"/>
        <w:rPr>
          <w:rFonts w:ascii="Arial" w:cs="Arial" w:eastAsia="Arial" w:hAnsi="Arial"/>
          <w:sz w:val="17"/>
          <w:szCs w:val="17"/>
          <w:color w:val="auto"/>
        </w:rPr>
      </w:pPr>
    </w:p>
    <w:p>
      <w:pPr>
        <w:ind w:left="1800" w:hanging="496"/>
        <w:spacing w:after="0" w:line="207" w:lineRule="exact"/>
        <w:tabs>
          <w:tab w:leader="none" w:pos="18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45" w:lineRule="exact"/>
        <w:rPr>
          <w:sz w:val="20"/>
          <w:szCs w:val="20"/>
          <w:color w:val="auto"/>
        </w:rPr>
      </w:pPr>
    </w:p>
    <w:p>
      <w:pPr>
        <w:ind w:right="360" w:firstLine="1346"/>
        <w:spacing w:after="0" w:line="238" w:lineRule="auto"/>
        <w:rPr>
          <w:sz w:val="20"/>
          <w:szCs w:val="20"/>
          <w:color w:val="auto"/>
        </w:rPr>
      </w:pPr>
      <w:r>
        <w:rPr>
          <w:rFonts w:ascii="Arial" w:cs="Arial" w:eastAsia="Arial" w:hAnsi="Arial"/>
          <w:sz w:val="22"/>
          <w:szCs w:val="22"/>
          <w:color w:val="auto"/>
        </w:rPr>
        <w:t>The percentages set forth herein are based on 22,392,973 shares of Common Stock expected to be outstanding upon closing of the Issuer’s initial public offering on May 10, 2022, assuming the underwriters do not exercise their option to purchase additional shares in full, according to the Issuer’s prospectus on Form 424B4 filed with the Securities &amp; Exchange Commission on May 9, 2022.</w:t>
      </w:r>
    </w:p>
    <w:p>
      <w:pPr>
        <w:spacing w:after="0" w:line="219" w:lineRule="exact"/>
        <w:rPr>
          <w:sz w:val="20"/>
          <w:szCs w:val="20"/>
          <w:color w:val="auto"/>
        </w:rPr>
      </w:pPr>
    </w:p>
    <w:p>
      <w:pPr>
        <w:ind w:left="1300"/>
        <w:spacing w:after="0"/>
        <w:tabs>
          <w:tab w:leader="none" w:pos="1600" w:val="left"/>
        </w:tabs>
        <w:rPr>
          <w:sz w:val="20"/>
          <w:szCs w:val="20"/>
          <w:color w:val="auto"/>
        </w:rPr>
      </w:pPr>
      <w:r>
        <w:rPr>
          <w:rFonts w:ascii="Arial" w:cs="Arial" w:eastAsia="Arial" w:hAnsi="Arial"/>
          <w:sz w:val="18"/>
          <w:szCs w:val="18"/>
          <w:color w:val="auto"/>
        </w:rPr>
        <w:t>A.</w:t>
        <w:tab/>
        <w:t>VGI</w:t>
      </w:r>
    </w:p>
    <w:p>
      <w:pPr>
        <w:spacing w:after="0" w:line="252" w:lineRule="exact"/>
        <w:rPr>
          <w:sz w:val="20"/>
          <w:szCs w:val="20"/>
          <w:color w:val="auto"/>
        </w:rPr>
      </w:pPr>
    </w:p>
    <w:p>
      <w:pPr>
        <w:ind w:left="1800" w:hanging="496"/>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1,793,923</w:t>
      </w:r>
    </w:p>
    <w:p>
      <w:pPr>
        <w:spacing w:after="0" w:line="252" w:lineRule="exact"/>
        <w:rPr>
          <w:rFonts w:ascii="Arial" w:cs="Arial" w:eastAsia="Arial" w:hAnsi="Arial"/>
          <w:sz w:val="18"/>
          <w:szCs w:val="18"/>
          <w:color w:val="auto"/>
        </w:rPr>
      </w:pPr>
    </w:p>
    <w:p>
      <w:pPr>
        <w:ind w:left="1800" w:hanging="496"/>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8.0%</w:t>
      </w:r>
    </w:p>
    <w:p>
      <w:pPr>
        <w:spacing w:after="0" w:line="252" w:lineRule="exact"/>
        <w:rPr>
          <w:rFonts w:ascii="Arial" w:cs="Arial" w:eastAsia="Arial" w:hAnsi="Arial"/>
          <w:sz w:val="18"/>
          <w:szCs w:val="18"/>
          <w:color w:val="auto"/>
        </w:rPr>
      </w:pPr>
    </w:p>
    <w:p>
      <w:pPr>
        <w:ind w:left="1800" w:hanging="496"/>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1,793,923</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1,793,923</w:t>
      </w:r>
    </w:p>
    <w:p>
      <w:pPr>
        <w:spacing w:after="0" w:line="245" w:lineRule="exact"/>
        <w:rPr>
          <w:sz w:val="20"/>
          <w:szCs w:val="20"/>
          <w:color w:val="auto"/>
        </w:rPr>
      </w:pPr>
    </w:p>
    <w:p>
      <w:pPr>
        <w:ind w:left="1800" w:right="280"/>
        <w:spacing w:after="0" w:line="250" w:lineRule="auto"/>
        <w:rPr>
          <w:sz w:val="20"/>
          <w:szCs w:val="20"/>
          <w:color w:val="auto"/>
        </w:rPr>
      </w:pPr>
      <w:r>
        <w:rPr>
          <w:rFonts w:ascii="Arial" w:cs="Arial" w:eastAsia="Arial" w:hAnsi="Arial"/>
          <w:sz w:val="22"/>
          <w:szCs w:val="22"/>
          <w:color w:val="auto"/>
        </w:rPr>
        <w:t>VGI provides managerial services to VGOP and KAVRA 16. VGI has the authority to dispose of and vote the shares of Common Stock.</w:t>
      </w:r>
    </w:p>
    <w:p>
      <w:pPr>
        <w:spacing w:after="0" w:line="202" w:lineRule="exact"/>
        <w:rPr>
          <w:sz w:val="20"/>
          <w:szCs w:val="20"/>
          <w:color w:val="auto"/>
        </w:rPr>
      </w:pPr>
    </w:p>
    <w:p>
      <w:pPr>
        <w:ind w:left="1800" w:right="140"/>
        <w:spacing w:after="0"/>
        <w:rPr>
          <w:sz w:val="20"/>
          <w:szCs w:val="20"/>
          <w:color w:val="auto"/>
        </w:rPr>
      </w:pPr>
      <w:r>
        <w:rPr>
          <w:rFonts w:ascii="Arial" w:cs="Arial" w:eastAsia="Arial" w:hAnsi="Arial"/>
          <w:sz w:val="22"/>
          <w:szCs w:val="22"/>
          <w:color w:val="auto"/>
        </w:rPr>
        <w:t>Based on Rule 13d-3 of the Securities Exchange Act of 1934, as amended (the “Act”), VGI may be deemed to beneficially own the shares of Common Stock directly held by VGOP and KAVRA 16. VGI does not directly own any shares of Common Stock.</w:t>
      </w:r>
    </w:p>
    <w:p>
      <w:pPr>
        <w:spacing w:after="0" w:line="213" w:lineRule="exact"/>
        <w:rPr>
          <w:sz w:val="20"/>
          <w:szCs w:val="20"/>
          <w:color w:val="auto"/>
        </w:rPr>
      </w:pPr>
    </w:p>
    <w:p>
      <w:pPr>
        <w:ind w:left="1800" w:right="340"/>
        <w:spacing w:after="0"/>
        <w:rPr>
          <w:sz w:val="20"/>
          <w:szCs w:val="20"/>
          <w:color w:val="auto"/>
        </w:rPr>
      </w:pPr>
      <w:r>
        <w:rPr>
          <w:rFonts w:ascii="Arial" w:cs="Arial" w:eastAsia="Arial" w:hAnsi="Arial"/>
          <w:sz w:val="22"/>
          <w:szCs w:val="22"/>
          <w:color w:val="auto"/>
        </w:rPr>
        <w:t>VGI beneficially owns 1,793,923 shares of Common Stock consisting of (i) 720,000 shares of Common Stock directly and beneficially owned by VGOP and (ii) 1,073,923 shares of Common Stock directly and beneficially owned by KAVRA 16.</w:t>
      </w:r>
    </w:p>
    <w:p>
      <w:pPr>
        <w:spacing w:after="0" w:line="220" w:lineRule="exact"/>
        <w:rPr>
          <w:sz w:val="20"/>
          <w:szCs w:val="20"/>
          <w:color w:val="auto"/>
        </w:rPr>
      </w:pPr>
    </w:p>
    <w:p>
      <w:pPr>
        <w:ind w:left="1300"/>
        <w:spacing w:after="0"/>
        <w:tabs>
          <w:tab w:leader="none" w:pos="16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Opportunities Parent</w:t>
      </w:r>
    </w:p>
    <w:p>
      <w:pPr>
        <w:spacing w:after="0" w:line="252" w:lineRule="exact"/>
        <w:rPr>
          <w:sz w:val="20"/>
          <w:szCs w:val="20"/>
          <w:color w:val="auto"/>
        </w:rPr>
      </w:pPr>
    </w:p>
    <w:p>
      <w:pPr>
        <w:ind w:left="1800" w:hanging="49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1,793,923</w:t>
      </w:r>
    </w:p>
    <w:p>
      <w:pPr>
        <w:spacing w:after="0" w:line="252" w:lineRule="exact"/>
        <w:rPr>
          <w:rFonts w:ascii="Arial" w:cs="Arial" w:eastAsia="Arial" w:hAnsi="Arial"/>
          <w:sz w:val="18"/>
          <w:szCs w:val="18"/>
          <w:color w:val="auto"/>
        </w:rPr>
      </w:pPr>
    </w:p>
    <w:p>
      <w:pPr>
        <w:ind w:left="1800" w:hanging="49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8.0%</w:t>
      </w:r>
    </w:p>
    <w:p>
      <w:pPr>
        <w:spacing w:after="0" w:line="252" w:lineRule="exact"/>
        <w:rPr>
          <w:rFonts w:ascii="Arial" w:cs="Arial" w:eastAsia="Arial" w:hAnsi="Arial"/>
          <w:sz w:val="18"/>
          <w:szCs w:val="18"/>
          <w:color w:val="auto"/>
        </w:rPr>
      </w:pPr>
    </w:p>
    <w:p>
      <w:pPr>
        <w:ind w:left="1800" w:hanging="49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1,793,923</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1,793,923</w:t>
      </w:r>
    </w:p>
    <w:p>
      <w:pPr>
        <w:spacing w:after="0" w:line="245" w:lineRule="exact"/>
        <w:rPr>
          <w:sz w:val="20"/>
          <w:szCs w:val="20"/>
          <w:color w:val="auto"/>
        </w:rPr>
      </w:pPr>
    </w:p>
    <w:p>
      <w:pPr>
        <w:ind w:left="1800" w:right="200"/>
        <w:spacing w:after="0" w:line="238" w:lineRule="auto"/>
        <w:rPr>
          <w:sz w:val="20"/>
          <w:szCs w:val="20"/>
          <w:color w:val="auto"/>
        </w:rPr>
      </w:pPr>
      <w:r>
        <w:rPr>
          <w:rFonts w:ascii="Arial" w:cs="Arial" w:eastAsia="Arial" w:hAnsi="Arial"/>
          <w:sz w:val="22"/>
          <w:szCs w:val="22"/>
          <w:color w:val="auto"/>
        </w:rPr>
        <w:t>Opportunities Parent is the general partner of Opportunities GP, which has the authority to dispose of and vote the shares of Common Stock controlled by Opportunities Portfolio GP, which consists of the shares of Common Stock directly held by VGOP and KAVRA 16. Opportunities Parent does not directly own any shares of Common Stock.</w:t>
      </w:r>
    </w:p>
    <w:p>
      <w:pPr>
        <w:spacing w:after="0" w:line="212" w:lineRule="exact"/>
        <w:rPr>
          <w:sz w:val="20"/>
          <w:szCs w:val="20"/>
          <w:color w:val="auto"/>
        </w:rPr>
      </w:pPr>
    </w:p>
    <w:p>
      <w:pPr>
        <w:ind w:left="1800" w:right="540"/>
        <w:spacing w:after="0" w:line="250" w:lineRule="auto"/>
        <w:rPr>
          <w:sz w:val="20"/>
          <w:szCs w:val="20"/>
          <w:color w:val="auto"/>
        </w:rPr>
      </w:pPr>
      <w:r>
        <w:rPr>
          <w:rFonts w:ascii="Arial" w:cs="Arial" w:eastAsia="Arial" w:hAnsi="Arial"/>
          <w:sz w:val="22"/>
          <w:szCs w:val="22"/>
          <w:color w:val="auto"/>
        </w:rPr>
        <w:t>Based on Rule 13d-3 of the Act, Opportunities Parent may be deemed to beneficially own the shares of Common Stock directly held by VGOP and KAVRA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40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03"/>
        </w:trPr>
        <w:tc>
          <w:tcPr>
            <w:tcW w:w="4540" w:type="dxa"/>
            <w:vAlign w:val="bottom"/>
            <w:tcBorders>
              <w:top w:val="single" w:sz="8" w:color="auto"/>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4500" w:type="dxa"/>
            <w:vAlign w:val="bottom"/>
            <w:tcBorders>
              <w:top w:val="single" w:sz="8" w:color="auto"/>
              <w:right w:val="single" w:sz="8" w:color="auto"/>
            </w:tcBorders>
            <w:gridSpan w:val="5"/>
          </w:tcPr>
          <w:p>
            <w:pPr>
              <w:ind w:left="2980"/>
              <w:spacing w:after="0" w:line="202" w:lineRule="exact"/>
              <w:rPr>
                <w:sz w:val="20"/>
                <w:szCs w:val="20"/>
                <w:color w:val="auto"/>
              </w:rPr>
            </w:pPr>
            <w:r>
              <w:rPr>
                <w:rFonts w:ascii="Arial" w:cs="Arial" w:eastAsia="Arial" w:hAnsi="Arial"/>
                <w:sz w:val="18"/>
                <w:szCs w:val="18"/>
                <w:b w:val="1"/>
                <w:bCs w:val="1"/>
                <w:color w:val="auto"/>
                <w:w w:val="85"/>
              </w:rPr>
              <w:t>Page 13 of 17 Pages</w:t>
            </w:r>
          </w:p>
        </w:tc>
      </w:tr>
      <w:tr>
        <w:trPr>
          <w:trHeight w:val="28"/>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bl>
    <w:p>
      <w:pPr>
        <w:spacing w:after="0" w:line="222" w:lineRule="exact"/>
        <w:rPr>
          <w:sz w:val="20"/>
          <w:szCs w:val="20"/>
          <w:color w:val="auto"/>
        </w:rPr>
      </w:pPr>
    </w:p>
    <w:p>
      <w:pPr>
        <w:ind w:left="1800" w:right="160"/>
        <w:spacing w:after="0"/>
        <w:rPr>
          <w:sz w:val="20"/>
          <w:szCs w:val="20"/>
          <w:color w:val="auto"/>
        </w:rPr>
      </w:pPr>
      <w:r>
        <w:rPr>
          <w:rFonts w:ascii="Arial" w:cs="Arial" w:eastAsia="Arial" w:hAnsi="Arial"/>
          <w:sz w:val="22"/>
          <w:szCs w:val="22"/>
          <w:color w:val="auto"/>
        </w:rPr>
        <w:t>Opportunities Parent beneficially owns 1,793,923 shares of Common Stock consisting of (i) 720,000 shares of Common Stock directly and beneficially owned by VGOP and (ii) 1,073,923 shares of Common Stock directly and beneficially owned by KAVRA 16.</w:t>
      </w:r>
    </w:p>
    <w:p>
      <w:pPr>
        <w:spacing w:after="0" w:line="220" w:lineRule="exact"/>
        <w:rPr>
          <w:sz w:val="20"/>
          <w:szCs w:val="20"/>
          <w:color w:val="auto"/>
        </w:rPr>
      </w:pPr>
    </w:p>
    <w:p>
      <w:pPr>
        <w:ind w:left="1300"/>
        <w:spacing w:after="0"/>
        <w:tabs>
          <w:tab w:leader="none" w:pos="16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Opportunities GP</w:t>
      </w:r>
    </w:p>
    <w:p>
      <w:pPr>
        <w:spacing w:after="0" w:line="252" w:lineRule="exact"/>
        <w:rPr>
          <w:sz w:val="20"/>
          <w:szCs w:val="20"/>
          <w:color w:val="auto"/>
        </w:rPr>
      </w:pPr>
    </w:p>
    <w:p>
      <w:pPr>
        <w:ind w:left="1800" w:hanging="49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1,793,923</w:t>
      </w:r>
    </w:p>
    <w:p>
      <w:pPr>
        <w:spacing w:after="0" w:line="252" w:lineRule="exact"/>
        <w:rPr>
          <w:rFonts w:ascii="Arial" w:cs="Arial" w:eastAsia="Arial" w:hAnsi="Arial"/>
          <w:sz w:val="18"/>
          <w:szCs w:val="18"/>
          <w:color w:val="auto"/>
        </w:rPr>
      </w:pPr>
    </w:p>
    <w:p>
      <w:pPr>
        <w:ind w:left="1800" w:hanging="49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8.0%</w:t>
      </w:r>
    </w:p>
    <w:p>
      <w:pPr>
        <w:spacing w:after="0" w:line="252" w:lineRule="exact"/>
        <w:rPr>
          <w:rFonts w:ascii="Arial" w:cs="Arial" w:eastAsia="Arial" w:hAnsi="Arial"/>
          <w:sz w:val="18"/>
          <w:szCs w:val="18"/>
          <w:color w:val="auto"/>
        </w:rPr>
      </w:pPr>
    </w:p>
    <w:p>
      <w:pPr>
        <w:ind w:left="1800" w:hanging="49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1,793,923</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1,793,923</w:t>
      </w:r>
    </w:p>
    <w:p>
      <w:pPr>
        <w:spacing w:after="0" w:line="245" w:lineRule="exact"/>
        <w:rPr>
          <w:sz w:val="20"/>
          <w:szCs w:val="20"/>
          <w:color w:val="auto"/>
        </w:rPr>
      </w:pPr>
    </w:p>
    <w:p>
      <w:pPr>
        <w:ind w:left="1800" w:right="220"/>
        <w:spacing w:after="0" w:line="238" w:lineRule="auto"/>
        <w:rPr>
          <w:sz w:val="20"/>
          <w:szCs w:val="20"/>
          <w:color w:val="auto"/>
        </w:rPr>
      </w:pPr>
      <w:r>
        <w:rPr>
          <w:rFonts w:ascii="Arial" w:cs="Arial" w:eastAsia="Arial" w:hAnsi="Arial"/>
          <w:sz w:val="22"/>
          <w:szCs w:val="22"/>
          <w:color w:val="auto"/>
        </w:rPr>
        <w:t>Opportunities GP serves as the sole member of Opportunities Portfolio GP and has the authority to dispose of and vote the shares of Common Stock controlled by Opportunities Portfolio GP, which consists of the shares of Common Stock directly held by VGOP and KAVRA 16. Opportunities GP does not directly own any shares of Common Stock.</w:t>
      </w:r>
    </w:p>
    <w:p>
      <w:pPr>
        <w:spacing w:after="0" w:line="212" w:lineRule="exact"/>
        <w:rPr>
          <w:sz w:val="20"/>
          <w:szCs w:val="20"/>
          <w:color w:val="auto"/>
        </w:rPr>
      </w:pPr>
    </w:p>
    <w:p>
      <w:pPr>
        <w:ind w:left="1800" w:right="820"/>
        <w:spacing w:after="0" w:line="250" w:lineRule="auto"/>
        <w:rPr>
          <w:sz w:val="20"/>
          <w:szCs w:val="20"/>
          <w:color w:val="auto"/>
        </w:rPr>
      </w:pPr>
      <w:r>
        <w:rPr>
          <w:rFonts w:ascii="Arial" w:cs="Arial" w:eastAsia="Arial" w:hAnsi="Arial"/>
          <w:sz w:val="22"/>
          <w:szCs w:val="22"/>
          <w:color w:val="auto"/>
        </w:rPr>
        <w:t>Based on Rule 13d-3 of the Act, Opportunities GP may be deemed to beneficially own the shares of Common Stock directly held by VGOP and KAVRA 16.</w:t>
      </w:r>
    </w:p>
    <w:p>
      <w:pPr>
        <w:spacing w:after="0" w:line="202" w:lineRule="exact"/>
        <w:rPr>
          <w:sz w:val="20"/>
          <w:szCs w:val="20"/>
          <w:color w:val="auto"/>
        </w:rPr>
      </w:pPr>
    </w:p>
    <w:p>
      <w:pPr>
        <w:ind w:left="1800" w:right="200"/>
        <w:spacing w:after="0"/>
        <w:rPr>
          <w:sz w:val="20"/>
          <w:szCs w:val="20"/>
          <w:color w:val="auto"/>
        </w:rPr>
      </w:pPr>
      <w:r>
        <w:rPr>
          <w:rFonts w:ascii="Arial" w:cs="Arial" w:eastAsia="Arial" w:hAnsi="Arial"/>
          <w:sz w:val="22"/>
          <w:szCs w:val="22"/>
          <w:color w:val="auto"/>
        </w:rPr>
        <w:t>Opportunities GP beneficially owns 1,793,923 shares of Common Stock consisting of (i) 720,000 shares of Common Stock directly and beneficially owned by VGOP and (ii) 1,073,923 shares of Common Stock directly and beneficially owned by KAVRA 16.</w:t>
      </w:r>
    </w:p>
    <w:p>
      <w:pPr>
        <w:spacing w:after="0" w:line="220" w:lineRule="exact"/>
        <w:rPr>
          <w:sz w:val="20"/>
          <w:szCs w:val="20"/>
          <w:color w:val="auto"/>
        </w:rPr>
      </w:pPr>
    </w:p>
    <w:p>
      <w:pPr>
        <w:ind w:left="1300"/>
        <w:spacing w:after="0"/>
        <w:tabs>
          <w:tab w:leader="none" w:pos="160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Opportunities Portfolio GP</w:t>
      </w:r>
    </w:p>
    <w:p>
      <w:pPr>
        <w:spacing w:after="0" w:line="252" w:lineRule="exact"/>
        <w:rPr>
          <w:sz w:val="20"/>
          <w:szCs w:val="20"/>
          <w:color w:val="auto"/>
        </w:rPr>
      </w:pPr>
    </w:p>
    <w:p>
      <w:pPr>
        <w:ind w:left="1800" w:hanging="49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1,793,923</w:t>
      </w:r>
    </w:p>
    <w:p>
      <w:pPr>
        <w:spacing w:after="0" w:line="252" w:lineRule="exact"/>
        <w:rPr>
          <w:rFonts w:ascii="Arial" w:cs="Arial" w:eastAsia="Arial" w:hAnsi="Arial"/>
          <w:sz w:val="18"/>
          <w:szCs w:val="18"/>
          <w:color w:val="auto"/>
        </w:rPr>
      </w:pPr>
    </w:p>
    <w:p>
      <w:pPr>
        <w:ind w:left="1800" w:hanging="49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8.0%</w:t>
      </w:r>
    </w:p>
    <w:p>
      <w:pPr>
        <w:spacing w:after="0" w:line="252" w:lineRule="exact"/>
        <w:rPr>
          <w:rFonts w:ascii="Arial" w:cs="Arial" w:eastAsia="Arial" w:hAnsi="Arial"/>
          <w:sz w:val="18"/>
          <w:szCs w:val="18"/>
          <w:color w:val="auto"/>
        </w:rPr>
      </w:pPr>
    </w:p>
    <w:p>
      <w:pPr>
        <w:ind w:left="1800" w:hanging="49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1,793,923</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1,793,923</w:t>
      </w:r>
    </w:p>
    <w:p>
      <w:pPr>
        <w:spacing w:after="0" w:line="245" w:lineRule="exact"/>
        <w:rPr>
          <w:sz w:val="20"/>
          <w:szCs w:val="20"/>
          <w:color w:val="auto"/>
        </w:rPr>
      </w:pPr>
    </w:p>
    <w:p>
      <w:pPr>
        <w:ind w:left="1800" w:right="40"/>
        <w:spacing w:after="0" w:line="297" w:lineRule="auto"/>
        <w:rPr>
          <w:sz w:val="20"/>
          <w:szCs w:val="20"/>
          <w:color w:val="auto"/>
        </w:rPr>
      </w:pPr>
      <w:r>
        <w:rPr>
          <w:rFonts w:ascii="Arial" w:cs="Arial" w:eastAsia="Arial" w:hAnsi="Arial"/>
          <w:sz w:val="19"/>
          <w:szCs w:val="19"/>
          <w:color w:val="auto"/>
        </w:rPr>
        <w:t>Opportunities Portfolio GP serves as the general partner of VGOP, which is the sole member of KAVRA 16, and has the authority to dispose of and vote the shares of Common Stock directly owned by VGOP and KAVRA 16. Opportunities Portfolio GP does not directly own any shares of Common Stock.</w:t>
      </w:r>
    </w:p>
    <w:p>
      <w:pPr>
        <w:spacing w:after="0" w:line="161" w:lineRule="exact"/>
        <w:rPr>
          <w:sz w:val="20"/>
          <w:szCs w:val="20"/>
          <w:color w:val="auto"/>
        </w:rPr>
      </w:pPr>
    </w:p>
    <w:p>
      <w:pPr>
        <w:ind w:left="1800" w:right="220"/>
        <w:spacing w:after="0" w:line="250" w:lineRule="auto"/>
        <w:rPr>
          <w:sz w:val="20"/>
          <w:szCs w:val="20"/>
          <w:color w:val="auto"/>
        </w:rPr>
      </w:pPr>
      <w:r>
        <w:rPr>
          <w:rFonts w:ascii="Arial" w:cs="Arial" w:eastAsia="Arial" w:hAnsi="Arial"/>
          <w:sz w:val="22"/>
          <w:szCs w:val="22"/>
          <w:color w:val="auto"/>
        </w:rPr>
        <w:t>Based on Rule 13d-3 of the Act, Opportunities Portfolio GP may be deemed to beneficially own the shares of Common Stock directly held by VGOP and KAVRA 16.</w:t>
      </w:r>
    </w:p>
    <w:p>
      <w:pPr>
        <w:spacing w:after="0" w:line="202" w:lineRule="exact"/>
        <w:rPr>
          <w:sz w:val="20"/>
          <w:szCs w:val="20"/>
          <w:color w:val="auto"/>
        </w:rPr>
      </w:pPr>
    </w:p>
    <w:p>
      <w:pPr>
        <w:jc w:val="both"/>
        <w:ind w:left="1800" w:right="200"/>
        <w:spacing w:after="0"/>
        <w:rPr>
          <w:sz w:val="20"/>
          <w:szCs w:val="20"/>
          <w:color w:val="auto"/>
        </w:rPr>
      </w:pPr>
      <w:r>
        <w:rPr>
          <w:rFonts w:ascii="Arial" w:cs="Arial" w:eastAsia="Arial" w:hAnsi="Arial"/>
          <w:sz w:val="22"/>
          <w:szCs w:val="22"/>
          <w:color w:val="auto"/>
        </w:rPr>
        <w:t>Opportunities Portfolio GP beneficially owns 1,793,923 shares of Common Stock consisting of (i) 720,000 shares of Common Stock directly and beneficially owned by VGOP and (ii) 1,073,923 shares of Common Stock directly and beneficially owned by KAVRA 16.</w:t>
      </w:r>
    </w:p>
    <w:p>
      <w:pPr>
        <w:spacing w:after="0" w:line="220" w:lineRule="exact"/>
        <w:rPr>
          <w:sz w:val="20"/>
          <w:szCs w:val="20"/>
          <w:color w:val="auto"/>
        </w:rPr>
      </w:pPr>
    </w:p>
    <w:p>
      <w:pPr>
        <w:ind w:left="1300"/>
        <w:spacing w:after="0"/>
        <w:tabs>
          <w:tab w:leader="none" w:pos="160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7"/>
          <w:szCs w:val="17"/>
          <w:color w:val="auto"/>
        </w:rPr>
        <w:t>VGOP</w:t>
      </w:r>
    </w:p>
    <w:p>
      <w:pPr>
        <w:spacing w:after="0" w:line="252" w:lineRule="exact"/>
        <w:rPr>
          <w:sz w:val="20"/>
          <w:szCs w:val="20"/>
          <w:color w:val="auto"/>
        </w:rPr>
      </w:pPr>
    </w:p>
    <w:p>
      <w:pPr>
        <w:ind w:left="1800" w:hanging="496"/>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1,793,923</w:t>
      </w:r>
    </w:p>
    <w:p>
      <w:pPr>
        <w:spacing w:after="0" w:line="252" w:lineRule="exact"/>
        <w:rPr>
          <w:rFonts w:ascii="Arial" w:cs="Arial" w:eastAsia="Arial" w:hAnsi="Arial"/>
          <w:sz w:val="18"/>
          <w:szCs w:val="18"/>
          <w:color w:val="auto"/>
        </w:rPr>
      </w:pPr>
    </w:p>
    <w:p>
      <w:pPr>
        <w:ind w:left="1800" w:hanging="496"/>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8.0%</w:t>
      </w:r>
    </w:p>
    <w:p>
      <w:pPr>
        <w:spacing w:after="0" w:line="252" w:lineRule="exact"/>
        <w:rPr>
          <w:rFonts w:ascii="Arial" w:cs="Arial" w:eastAsia="Arial" w:hAnsi="Arial"/>
          <w:sz w:val="18"/>
          <w:szCs w:val="18"/>
          <w:color w:val="auto"/>
        </w:rPr>
      </w:pPr>
    </w:p>
    <w:p>
      <w:pPr>
        <w:ind w:left="1800" w:hanging="496"/>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ectPr>
          <w:pgSz w:w="11900" w:h="16838" w:orient="portrait"/>
          <w:cols w:equalWidth="0" w:num="1">
            <w:col w:w="11240"/>
          </w:cols>
          <w:pgMar w:left="320" w:top="120" w:right="339" w:bottom="0" w:gutter="0" w:footer="0" w:header="0"/>
        </w:sectPr>
      </w:pPr>
    </w:p>
    <w:bookmarkStart w:id="13" w:name="page14"/>
    <w:bookmarkEnd w:id="13"/>
    <w:p>
      <w:pPr>
        <w:ind w:left="1320" w:hanging="650"/>
        <w:spacing w:after="0"/>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Shared power to vote or to direct the vote: 1,793,923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03"/>
        </w:trPr>
        <w:tc>
          <w:tcPr>
            <w:tcW w:w="4540" w:type="dxa"/>
            <w:vAlign w:val="bottom"/>
            <w:tcBorders>
              <w:top w:val="single" w:sz="8" w:color="auto"/>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4500" w:type="dxa"/>
            <w:vAlign w:val="bottom"/>
            <w:tcBorders>
              <w:top w:val="single" w:sz="8" w:color="auto"/>
              <w:right w:val="single" w:sz="8" w:color="auto"/>
            </w:tcBorders>
            <w:gridSpan w:val="5"/>
          </w:tcPr>
          <w:p>
            <w:pPr>
              <w:ind w:left="2980"/>
              <w:spacing w:after="0" w:line="202" w:lineRule="exact"/>
              <w:rPr>
                <w:sz w:val="20"/>
                <w:szCs w:val="20"/>
                <w:color w:val="auto"/>
              </w:rPr>
            </w:pPr>
            <w:r>
              <w:rPr>
                <w:rFonts w:ascii="Arial" w:cs="Arial" w:eastAsia="Arial" w:hAnsi="Arial"/>
                <w:sz w:val="18"/>
                <w:szCs w:val="18"/>
                <w:b w:val="1"/>
                <w:bCs w:val="1"/>
                <w:color w:val="auto"/>
                <w:w w:val="85"/>
              </w:rPr>
              <w:t>Page 14 of 17 Pages</w:t>
            </w:r>
          </w:p>
        </w:tc>
      </w:tr>
      <w:tr>
        <w:trPr>
          <w:trHeight w:val="28"/>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ind w:left="2440" w:hanging="650"/>
        <w:spacing w:after="0"/>
        <w:tabs>
          <w:tab w:leader="none" w:pos="2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1,793,923</w:t>
      </w:r>
    </w:p>
    <w:p>
      <w:pPr>
        <w:spacing w:after="0" w:line="245" w:lineRule="exact"/>
        <w:rPr>
          <w:sz w:val="20"/>
          <w:szCs w:val="20"/>
          <w:color w:val="auto"/>
        </w:rPr>
      </w:pPr>
    </w:p>
    <w:p>
      <w:pPr>
        <w:jc w:val="both"/>
        <w:ind w:left="1800" w:right="20"/>
        <w:spacing w:after="0"/>
        <w:rPr>
          <w:sz w:val="20"/>
          <w:szCs w:val="20"/>
          <w:color w:val="auto"/>
        </w:rPr>
      </w:pPr>
      <w:r>
        <w:rPr>
          <w:rFonts w:ascii="Arial" w:cs="Arial" w:eastAsia="Arial" w:hAnsi="Arial"/>
          <w:sz w:val="22"/>
          <w:szCs w:val="22"/>
          <w:color w:val="auto"/>
        </w:rPr>
        <w:t>VGOP has the authority to dispose of and vote the shares of Common Stock directly held by it, which power may be exercised by its general partner, Opportunities Portfolio GP, and by VGI, an affiliate of Opportunities Portfolio GP, which provides managerial services to VGOP.</w:t>
      </w:r>
    </w:p>
    <w:p>
      <w:pPr>
        <w:spacing w:after="0" w:line="213" w:lineRule="exact"/>
        <w:rPr>
          <w:sz w:val="20"/>
          <w:szCs w:val="20"/>
          <w:color w:val="auto"/>
        </w:rPr>
      </w:pPr>
    </w:p>
    <w:p>
      <w:pPr>
        <w:ind w:left="1800" w:right="120"/>
        <w:spacing w:after="0" w:line="236" w:lineRule="auto"/>
        <w:rPr>
          <w:sz w:val="20"/>
          <w:szCs w:val="20"/>
          <w:color w:val="auto"/>
        </w:rPr>
      </w:pPr>
      <w:r>
        <w:rPr>
          <w:rFonts w:ascii="Arial" w:cs="Arial" w:eastAsia="Arial" w:hAnsi="Arial"/>
          <w:sz w:val="22"/>
          <w:szCs w:val="22"/>
          <w:color w:val="auto"/>
        </w:rPr>
        <w:t>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w:t>
      </w:r>
    </w:p>
    <w:p>
      <w:pPr>
        <w:spacing w:after="0" w:line="221" w:lineRule="exact"/>
        <w:rPr>
          <w:sz w:val="20"/>
          <w:szCs w:val="20"/>
          <w:color w:val="auto"/>
        </w:rPr>
      </w:pPr>
    </w:p>
    <w:p>
      <w:pPr>
        <w:ind w:left="1620" w:hanging="316"/>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KAVRA 16</w:t>
      </w:r>
    </w:p>
    <w:p>
      <w:pPr>
        <w:spacing w:after="0" w:line="252" w:lineRule="exact"/>
        <w:rPr>
          <w:sz w:val="20"/>
          <w:szCs w:val="20"/>
          <w:color w:val="auto"/>
        </w:rPr>
      </w:pPr>
    </w:p>
    <w:p>
      <w:pPr>
        <w:ind w:left="1800" w:hanging="496"/>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 1,073,923</w:t>
      </w:r>
    </w:p>
    <w:p>
      <w:pPr>
        <w:spacing w:after="0" w:line="252" w:lineRule="exact"/>
        <w:rPr>
          <w:rFonts w:ascii="Arial" w:cs="Arial" w:eastAsia="Arial" w:hAnsi="Arial"/>
          <w:sz w:val="18"/>
          <w:szCs w:val="18"/>
          <w:color w:val="auto"/>
        </w:rPr>
      </w:pPr>
    </w:p>
    <w:p>
      <w:pPr>
        <w:ind w:left="1800" w:hanging="496"/>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4.8%</w:t>
      </w:r>
    </w:p>
    <w:p>
      <w:pPr>
        <w:spacing w:after="0" w:line="252" w:lineRule="exact"/>
        <w:rPr>
          <w:rFonts w:ascii="Arial" w:cs="Arial" w:eastAsia="Arial" w:hAnsi="Arial"/>
          <w:sz w:val="18"/>
          <w:szCs w:val="18"/>
          <w:color w:val="auto"/>
        </w:rPr>
      </w:pPr>
    </w:p>
    <w:p>
      <w:pPr>
        <w:ind w:left="1800" w:hanging="496"/>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1,073,923</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1,073,923</w:t>
      </w:r>
    </w:p>
    <w:p>
      <w:pPr>
        <w:spacing w:after="0" w:line="245" w:lineRule="exact"/>
        <w:rPr>
          <w:sz w:val="20"/>
          <w:szCs w:val="20"/>
          <w:color w:val="auto"/>
        </w:rPr>
      </w:pPr>
    </w:p>
    <w:p>
      <w:pPr>
        <w:ind w:left="1620" w:right="60"/>
        <w:spacing w:after="0" w:line="252" w:lineRule="auto"/>
        <w:rPr>
          <w:sz w:val="20"/>
          <w:szCs w:val="20"/>
          <w:color w:val="auto"/>
        </w:rPr>
      </w:pPr>
      <w:r>
        <w:rPr>
          <w:rFonts w:ascii="Arial" w:cs="Arial" w:eastAsia="Arial" w:hAnsi="Arial"/>
          <w:sz w:val="21"/>
          <w:szCs w:val="21"/>
          <w:color w:val="auto"/>
        </w:rPr>
        <w:t>KAVRA 16 has the authority to dispose of and vote the shares of Common Stock directly owned by it, which power may be exercised by Opportunities Portfolio GP, and by VGI, an affiliate of Opportunities Portfolio GP, which provides managerial services to KAVRA 16. The membership interests of KAVRA 16 are held by VGOP. Opportunities Portfolio GP is the general partner of VGOP.</w:t>
      </w:r>
    </w:p>
    <w:p>
      <w:pPr>
        <w:spacing w:after="0" w:line="208" w:lineRule="exact"/>
        <w:rPr>
          <w:sz w:val="20"/>
          <w:szCs w:val="20"/>
          <w:color w:val="auto"/>
        </w:rPr>
      </w:pPr>
    </w:p>
    <w:p>
      <w:pPr>
        <w:ind w:left="1300"/>
        <w:spacing w:after="0"/>
        <w:tabs>
          <w:tab w:leader="none" w:pos="160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O. Andreas Halvorsen, David C. Ott and Rose S. Shabet</w:t>
      </w:r>
    </w:p>
    <w:p>
      <w:pPr>
        <w:spacing w:after="0" w:line="252" w:lineRule="exact"/>
        <w:rPr>
          <w:sz w:val="20"/>
          <w:szCs w:val="20"/>
          <w:color w:val="auto"/>
        </w:rPr>
      </w:pPr>
    </w:p>
    <w:p>
      <w:pPr>
        <w:ind w:left="1800" w:hanging="496"/>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1,793,923</w:t>
      </w:r>
    </w:p>
    <w:p>
      <w:pPr>
        <w:spacing w:after="0" w:line="252" w:lineRule="exact"/>
        <w:rPr>
          <w:rFonts w:ascii="Arial" w:cs="Arial" w:eastAsia="Arial" w:hAnsi="Arial"/>
          <w:sz w:val="18"/>
          <w:szCs w:val="18"/>
          <w:color w:val="auto"/>
        </w:rPr>
      </w:pPr>
    </w:p>
    <w:p>
      <w:pPr>
        <w:ind w:left="1800" w:hanging="496"/>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8.0%</w:t>
      </w:r>
    </w:p>
    <w:p>
      <w:pPr>
        <w:spacing w:after="0" w:line="252" w:lineRule="exact"/>
        <w:rPr>
          <w:rFonts w:ascii="Arial" w:cs="Arial" w:eastAsia="Arial" w:hAnsi="Arial"/>
          <w:sz w:val="18"/>
          <w:szCs w:val="18"/>
          <w:color w:val="auto"/>
        </w:rPr>
      </w:pPr>
    </w:p>
    <w:p>
      <w:pPr>
        <w:ind w:left="1800" w:hanging="496"/>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1,793,923</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440" w:hanging="650"/>
        <w:spacing w:after="0"/>
        <w:tabs>
          <w:tab w:leader="none" w:pos="2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1,793,923</w:t>
      </w:r>
    </w:p>
    <w:p>
      <w:pPr>
        <w:spacing w:after="0" w:line="245" w:lineRule="exact"/>
        <w:rPr>
          <w:sz w:val="20"/>
          <w:szCs w:val="20"/>
          <w:color w:val="auto"/>
        </w:rPr>
      </w:pPr>
    </w:p>
    <w:p>
      <w:pPr>
        <w:ind w:left="1800" w:right="60"/>
        <w:spacing w:after="0" w:line="252" w:lineRule="auto"/>
        <w:rPr>
          <w:sz w:val="20"/>
          <w:szCs w:val="20"/>
          <w:color w:val="auto"/>
        </w:rPr>
      </w:pPr>
      <w:r>
        <w:rPr>
          <w:rFonts w:ascii="Arial" w:cs="Arial" w:eastAsia="Arial" w:hAnsi="Arial"/>
          <w:sz w:val="21"/>
          <w:szCs w:val="21"/>
          <w:color w:val="auto"/>
        </w:rPr>
        <w:t>Mr. Halvorsen, Mr. Ott and Ms. Shabet, as Executive Committee Members of Viking Global Partners LLC (general partner of VGI) and Opportunities Parent, have shared authority to dispose of and vote the shares of Common Stock beneficially owned by VGI and Opportunities Parent. None of Mr. Halvorsen, Mr. Ott and Ms. Shabet directly owns any shares of Common Stock.</w:t>
      </w:r>
    </w:p>
    <w:p>
      <w:pPr>
        <w:spacing w:after="0" w:line="201" w:lineRule="exact"/>
        <w:rPr>
          <w:sz w:val="20"/>
          <w:szCs w:val="20"/>
          <w:color w:val="auto"/>
        </w:rPr>
      </w:pPr>
    </w:p>
    <w:p>
      <w:pPr>
        <w:ind w:left="1800" w:right="520"/>
        <w:spacing w:after="0" w:line="250" w:lineRule="auto"/>
        <w:rPr>
          <w:sz w:val="20"/>
          <w:szCs w:val="20"/>
          <w:color w:val="auto"/>
        </w:rPr>
      </w:pPr>
      <w:r>
        <w:rPr>
          <w:rFonts w:ascii="Arial" w:cs="Arial" w:eastAsia="Arial" w:hAnsi="Arial"/>
          <w:sz w:val="22"/>
          <w:szCs w:val="22"/>
          <w:color w:val="auto"/>
        </w:rPr>
        <w:t>Based on Rule 13d-3 of the Act, each may be deemed to beneficially own the shares of Common Stock directly held by VGOP and KAVRA 16.</w:t>
      </w:r>
    </w:p>
    <w:p>
      <w:pPr>
        <w:spacing w:after="0" w:line="202" w:lineRule="exact"/>
        <w:rPr>
          <w:sz w:val="20"/>
          <w:szCs w:val="20"/>
          <w:color w:val="auto"/>
        </w:rPr>
      </w:pPr>
    </w:p>
    <w:p>
      <w:pPr>
        <w:jc w:val="both"/>
        <w:ind w:left="1800" w:right="40"/>
        <w:spacing w:after="0" w:line="257" w:lineRule="auto"/>
        <w:rPr>
          <w:sz w:val="20"/>
          <w:szCs w:val="20"/>
          <w:color w:val="auto"/>
        </w:rPr>
      </w:pPr>
      <w:r>
        <w:rPr>
          <w:rFonts w:ascii="Arial" w:cs="Arial" w:eastAsia="Arial" w:hAnsi="Arial"/>
          <w:sz w:val="21"/>
          <w:szCs w:val="21"/>
          <w:color w:val="auto"/>
        </w:rPr>
        <w:t>Mr. Halvorsen, Mr. Ott and Ms. Shabet each beneficially own 1,793,923 shares of Common Stock consisting of (i) 720,000 shares of Common Stock directly and beneficially owned by VGOP and (ii) 1,073,923 shares of Common Stock directly and beneficially owned by KAVRA 16.</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45" w:lineRule="exact"/>
        <w:rPr>
          <w:sz w:val="20"/>
          <w:szCs w:val="20"/>
          <w:color w:val="auto"/>
        </w:rPr>
      </w:pPr>
    </w:p>
    <w:p>
      <w:pPr>
        <w:ind w:right="160" w:firstLine="1296"/>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22"/>
          <w:szCs w:val="22"/>
          <w:color w:val="auto"/>
        </w:rPr>
        <w:t>☐</w:t>
      </w:r>
      <w:r>
        <w:rPr>
          <w:rFonts w:ascii="Arial" w:cs="Arial" w:eastAsia="Arial" w:hAnsi="Arial"/>
          <w:sz w:val="22"/>
          <w:szCs w:val="22"/>
          <w:color w:val="auto"/>
        </w:rPr>
        <w:t>.</w:t>
      </w:r>
    </w:p>
    <w:p>
      <w:pPr>
        <w:sectPr>
          <w:pgSz w:w="11900" w:h="16838" w:orient="portrait"/>
          <w:cols w:equalWidth="0" w:num="1">
            <w:col w:w="11240"/>
          </w:cols>
          <w:pgMar w:left="320" w:top="120" w:right="339" w:bottom="0" w:gutter="0" w:footer="0" w:header="0"/>
        </w:sectPr>
      </w:pPr>
    </w:p>
    <w:bookmarkStart w:id="15" w:name="page16"/>
    <w:bookmarkEnd w:id="15"/>
    <w:p>
      <w:pPr>
        <w:spacing w:after="0" w:line="2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03"/>
        </w:trPr>
        <w:tc>
          <w:tcPr>
            <w:tcW w:w="4540" w:type="dxa"/>
            <w:vAlign w:val="bottom"/>
            <w:tcBorders>
              <w:top w:val="single" w:sz="8" w:color="auto"/>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4500" w:type="dxa"/>
            <w:vAlign w:val="bottom"/>
            <w:tcBorders>
              <w:top w:val="single" w:sz="8" w:color="auto"/>
              <w:right w:val="single" w:sz="8" w:color="auto"/>
            </w:tcBorders>
            <w:gridSpan w:val="5"/>
          </w:tcPr>
          <w:p>
            <w:pPr>
              <w:ind w:left="2980"/>
              <w:spacing w:after="0" w:line="202" w:lineRule="exact"/>
              <w:rPr>
                <w:sz w:val="20"/>
                <w:szCs w:val="20"/>
                <w:color w:val="auto"/>
              </w:rPr>
            </w:pPr>
            <w:r>
              <w:rPr>
                <w:rFonts w:ascii="Arial" w:cs="Arial" w:eastAsia="Arial" w:hAnsi="Arial"/>
                <w:sz w:val="18"/>
                <w:szCs w:val="18"/>
                <w:b w:val="1"/>
                <w:bCs w:val="1"/>
                <w:color w:val="auto"/>
                <w:w w:val="85"/>
              </w:rPr>
              <w:t>Page 15 of 17 Pages</w:t>
            </w:r>
          </w:p>
        </w:tc>
      </w:tr>
      <w:tr>
        <w:trPr>
          <w:trHeight w:val="28"/>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 Person.</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The response to Item 4 is incorporated by reference herein.</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Not applicable.</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Not applicable.</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Not applicable.</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 xml:space="preserve">Certification. </w:t>
      </w:r>
      <w:r>
        <w:rPr>
          <w:rFonts w:ascii="Arial" w:cs="Arial" w:eastAsia="Arial" w:hAnsi="Arial"/>
          <w:sz w:val="16"/>
          <w:szCs w:val="16"/>
          <w:color w:val="auto"/>
        </w:rPr>
        <w:t>(if filing pursuant to Rule 13d-1(c))</w:t>
      </w:r>
    </w:p>
    <w:p>
      <w:pPr>
        <w:spacing w:after="0" w:line="245" w:lineRule="exact"/>
        <w:rPr>
          <w:sz w:val="20"/>
          <w:szCs w:val="20"/>
          <w:color w:val="auto"/>
        </w:rPr>
      </w:pPr>
    </w:p>
    <w:p>
      <w:pPr>
        <w:ind w:right="20" w:firstLine="1350"/>
        <w:spacing w:after="0" w:line="238" w:lineRule="auto"/>
        <w:rPr>
          <w:sz w:val="20"/>
          <w:szCs w:val="20"/>
          <w:color w:val="auto"/>
        </w:rPr>
      </w:pPr>
      <w:r>
        <w:rPr>
          <w:rFonts w:ascii="Arial" w:cs="Arial" w:eastAsia="Arial" w:hAnsi="Arial"/>
          <w:sz w:val="22"/>
          <w:szCs w:val="22"/>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03"/>
        </w:trPr>
        <w:tc>
          <w:tcPr>
            <w:tcW w:w="4540" w:type="dxa"/>
            <w:vAlign w:val="bottom"/>
            <w:tcBorders>
              <w:top w:val="single" w:sz="8" w:color="auto"/>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4500" w:type="dxa"/>
            <w:vAlign w:val="bottom"/>
            <w:tcBorders>
              <w:top w:val="single" w:sz="8" w:color="auto"/>
              <w:right w:val="single" w:sz="8" w:color="auto"/>
            </w:tcBorders>
            <w:gridSpan w:val="5"/>
          </w:tcPr>
          <w:p>
            <w:pPr>
              <w:ind w:left="2980"/>
              <w:spacing w:after="0" w:line="202" w:lineRule="exact"/>
              <w:rPr>
                <w:sz w:val="20"/>
                <w:szCs w:val="20"/>
                <w:color w:val="auto"/>
              </w:rPr>
            </w:pPr>
            <w:r>
              <w:rPr>
                <w:rFonts w:ascii="Arial" w:cs="Arial" w:eastAsia="Arial" w:hAnsi="Arial"/>
                <w:sz w:val="18"/>
                <w:szCs w:val="18"/>
                <w:b w:val="1"/>
                <w:bCs w:val="1"/>
                <w:color w:val="auto"/>
                <w:w w:val="85"/>
              </w:rPr>
              <w:t>Page 16 of 17 Pages</w:t>
            </w:r>
          </w:p>
        </w:tc>
      </w:tr>
      <w:tr>
        <w:trPr>
          <w:trHeight w:val="28"/>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SIGNATURES</w:t>
      </w:r>
    </w:p>
    <w:p>
      <w:pPr>
        <w:spacing w:after="0" w:line="23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2"/>
          <w:szCs w:val="22"/>
          <w:color w:val="auto"/>
        </w:rPr>
        <w:t>After reasonable inquiry and to the best of our knowledge and belief, the undersigned certify that the information set forth in this statement is true, complete and correct.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May 20, 2022</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Hendler</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Scott M. Hendler on behalf of O. Andreas Halvorsen (1)</w:t>
            </w:r>
          </w:p>
        </w:tc>
      </w:tr>
      <w:tr>
        <w:trPr>
          <w:trHeight w:val="42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Hendler</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Scott M. Hendler on behalf of David C. Ott (2)</w:t>
            </w:r>
          </w:p>
        </w:tc>
      </w:tr>
      <w:tr>
        <w:trPr>
          <w:trHeight w:val="42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Hendler</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Scott M. Hendler on behalf of Rose S. Shabet (3)</w:t>
            </w:r>
          </w:p>
        </w:tc>
      </w:tr>
    </w:tbl>
    <w:p>
      <w:pPr>
        <w:spacing w:after="0" w:line="207"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Scott M. Hendler is signing on behalf of O. Andreas Halvorsen, individually and as an Executive Committee Member of</w:t>
      </w:r>
    </w:p>
    <w:p>
      <w:pPr>
        <w:spacing w:after="0" w:line="42" w:lineRule="exact"/>
        <w:rPr>
          <w:rFonts w:ascii="Arial" w:cs="Arial" w:eastAsia="Arial" w:hAnsi="Arial"/>
          <w:sz w:val="19"/>
          <w:szCs w:val="19"/>
          <w:color w:val="auto"/>
        </w:rPr>
      </w:pPr>
    </w:p>
    <w:p>
      <w:pPr>
        <w:ind w:right="160"/>
        <w:spacing w:after="0" w:line="232" w:lineRule="auto"/>
        <w:rPr>
          <w:rFonts w:ascii="Arial" w:cs="Arial" w:eastAsia="Arial" w:hAnsi="Arial"/>
          <w:sz w:val="19"/>
          <w:szCs w:val="19"/>
          <w:color w:val="auto"/>
        </w:rPr>
      </w:pPr>
      <w:r>
        <w:rPr>
          <w:rFonts w:ascii="Arial" w:cs="Arial" w:eastAsia="Arial" w:hAnsi="Arial"/>
          <w:sz w:val="22"/>
          <w:szCs w:val="22"/>
          <w:color w:val="auto"/>
        </w:rPr>
        <w:t>VIKING GLOBAL PARTNERS LLC, on behalf of VIKING GLOBAL INVESTORS LP (for itself and as manager of KAVRA 16 LLC),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215" w:lineRule="exact"/>
        <w:rPr>
          <w:rFonts w:ascii="Arial" w:cs="Arial" w:eastAsia="Arial" w:hAnsi="Arial"/>
          <w:sz w:val="19"/>
          <w:szCs w:val="19"/>
          <w:color w:val="auto"/>
        </w:rPr>
      </w:pPr>
    </w:p>
    <w:p>
      <w:pPr>
        <w:ind w:right="180" w:firstLine="8"/>
        <w:spacing w:after="0" w:line="234" w:lineRule="auto"/>
        <w:tabs>
          <w:tab w:leader="none" w:pos="306" w:val="left"/>
        </w:tabs>
        <w:numPr>
          <w:ilvl w:val="0"/>
          <w:numId w:val="14"/>
        </w:numPr>
        <w:rPr>
          <w:rFonts w:ascii="Arial" w:cs="Arial" w:eastAsia="Arial" w:hAnsi="Arial"/>
          <w:sz w:val="22"/>
          <w:szCs w:val="22"/>
          <w:color w:val="auto"/>
        </w:rPr>
      </w:pPr>
      <w:r>
        <w:rPr>
          <w:rFonts w:ascii="Arial" w:cs="Arial" w:eastAsia="Arial" w:hAnsi="Arial"/>
          <w:sz w:val="22"/>
          <w:szCs w:val="22"/>
          <w:color w:val="auto"/>
        </w:rPr>
        <w:t>Scott M. Hendler is signing on behalf of David C. Ott, individually and as an Executive Committee Member of VIKING GLOBAL PARTNERS LLC, on behalf of VIKING GLOBAL INVESTORS LP (for itself and as manager of KAVRA 16 LLC),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217" w:lineRule="exact"/>
        <w:rPr>
          <w:rFonts w:ascii="Arial" w:cs="Arial" w:eastAsia="Arial" w:hAnsi="Arial"/>
          <w:sz w:val="22"/>
          <w:szCs w:val="22"/>
          <w:color w:val="auto"/>
        </w:rPr>
      </w:pPr>
    </w:p>
    <w:p>
      <w:pPr>
        <w:ind w:right="180" w:firstLine="8"/>
        <w:spacing w:after="0" w:line="246" w:lineRule="auto"/>
        <w:tabs>
          <w:tab w:leader="none" w:pos="306" w:val="left"/>
        </w:tabs>
        <w:numPr>
          <w:ilvl w:val="0"/>
          <w:numId w:val="14"/>
        </w:numPr>
        <w:rPr>
          <w:rFonts w:ascii="Arial" w:cs="Arial" w:eastAsia="Arial" w:hAnsi="Arial"/>
          <w:sz w:val="21"/>
          <w:szCs w:val="21"/>
          <w:color w:val="auto"/>
        </w:rPr>
      </w:pPr>
      <w:r>
        <w:rPr>
          <w:rFonts w:ascii="Arial" w:cs="Arial" w:eastAsia="Arial" w:hAnsi="Arial"/>
          <w:sz w:val="21"/>
          <w:szCs w:val="21"/>
          <w:color w:val="auto"/>
        </w:rPr>
        <w:t>Scott M. Hendler is signing on behalf of Rose S. Shabet, individually and as an Executive Committee Member of VIKING GLOBAL PARTNERS LLC, on behalf of VIKING GLOBAL INVESTORS LP (for itself and as manager of KAVRA 16 LLC),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02"/>
        </w:trPr>
        <w:tc>
          <w:tcPr>
            <w:tcW w:w="4540" w:type="dxa"/>
            <w:vAlign w:val="bottom"/>
            <w:tcBorders>
              <w:top w:val="single" w:sz="8" w:color="auto"/>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b w:val="1"/>
                <w:bCs w:val="1"/>
                <w:color w:val="auto"/>
              </w:rPr>
              <w:t>CUSIP No. 713317105</w:t>
            </w:r>
          </w:p>
        </w:tc>
        <w:tc>
          <w:tcPr>
            <w:tcW w:w="2200" w:type="dxa"/>
            <w:vAlign w:val="bottom"/>
            <w:tcBorders>
              <w:top w:val="single" w:sz="8" w:color="auto"/>
              <w:right w:val="single" w:sz="8" w:color="auto"/>
            </w:tcBorders>
          </w:tcPr>
          <w:p>
            <w:pPr>
              <w:ind w:left="940"/>
              <w:spacing w:after="0" w:line="202" w:lineRule="exact"/>
              <w:rPr>
                <w:sz w:val="20"/>
                <w:szCs w:val="20"/>
                <w:color w:val="auto"/>
              </w:rPr>
            </w:pPr>
            <w:r>
              <w:rPr>
                <w:rFonts w:ascii="Arial" w:cs="Arial" w:eastAsia="Arial" w:hAnsi="Arial"/>
                <w:sz w:val="18"/>
                <w:szCs w:val="18"/>
                <w:b w:val="1"/>
                <w:bCs w:val="1"/>
                <w:color w:val="auto"/>
              </w:rPr>
              <w:t>13G</w:t>
            </w:r>
          </w:p>
        </w:tc>
        <w:tc>
          <w:tcPr>
            <w:tcW w:w="4500" w:type="dxa"/>
            <w:vAlign w:val="bottom"/>
            <w:tcBorders>
              <w:top w:val="single" w:sz="8" w:color="auto"/>
              <w:right w:val="single" w:sz="8" w:color="auto"/>
            </w:tcBorders>
            <w:gridSpan w:val="5"/>
          </w:tcPr>
          <w:p>
            <w:pPr>
              <w:ind w:left="2980"/>
              <w:spacing w:after="0" w:line="202" w:lineRule="exact"/>
              <w:rPr>
                <w:sz w:val="20"/>
                <w:szCs w:val="20"/>
                <w:color w:val="auto"/>
              </w:rPr>
            </w:pPr>
            <w:r>
              <w:rPr>
                <w:rFonts w:ascii="Arial" w:cs="Arial" w:eastAsia="Arial" w:hAnsi="Arial"/>
                <w:sz w:val="18"/>
                <w:szCs w:val="18"/>
                <w:b w:val="1"/>
                <w:bCs w:val="1"/>
                <w:color w:val="auto"/>
                <w:w w:val="85"/>
              </w:rPr>
              <w:t>Page 17 of 17 Pages</w:t>
            </w:r>
          </w:p>
        </w:tc>
      </w:tr>
      <w:tr>
        <w:trPr>
          <w:trHeight w:val="28"/>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 - JOINT FILING AGREEMENT</w:t>
      </w:r>
    </w:p>
    <w:p>
      <w:pPr>
        <w:spacing w:after="0" w:line="233" w:lineRule="exact"/>
        <w:rPr>
          <w:sz w:val="20"/>
          <w:szCs w:val="20"/>
          <w:color w:val="auto"/>
        </w:rPr>
      </w:pPr>
    </w:p>
    <w:p>
      <w:pPr>
        <w:jc w:val="both"/>
        <w:ind w:firstLine="648"/>
        <w:spacing w:after="0" w:line="208" w:lineRule="auto"/>
        <w:rPr>
          <w:sz w:val="20"/>
          <w:szCs w:val="20"/>
          <w:color w:val="auto"/>
        </w:rPr>
      </w:pPr>
      <w:r>
        <w:rPr>
          <w:rFonts w:ascii="Arial" w:cs="Arial" w:eastAsia="Arial" w:hAnsi="Arial"/>
          <w:sz w:val="22"/>
          <w:szCs w:val="22"/>
          <w:color w:val="auto"/>
        </w:rPr>
        <w:t>This joint filing agreement is made and entered into as of this 20</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of May, 2022, by and among Viking Global Investors LP, Viking Global Opportunities Parent GP LLC, Viking Global Opportunities GP LLC, Viking Global Opportunities Portfolio GP LLC, Viking Global Opportunities Illiquid Investments Sub-Master LP, KAVRA 16 LLC, O. Andreas Halvorsen, David C. Ott and Rose S. Shabet.</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parties hereto have executed this agreement as of the date first set forth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May 20, 2022</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Hendler</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Scott M. Hendler on behalf of O. Andreas Halvorsen (1)</w:t>
            </w:r>
          </w:p>
        </w:tc>
      </w:tr>
      <w:tr>
        <w:trPr>
          <w:trHeight w:val="42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Hendler</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Scott M. Hendler on behalf of David C. Ott (2)</w:t>
            </w:r>
          </w:p>
        </w:tc>
      </w:tr>
      <w:tr>
        <w:trPr>
          <w:trHeight w:val="42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Hendler</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Scott M. Hendler on behalf of Rose S. Shabet (3)</w:t>
            </w:r>
          </w:p>
        </w:tc>
      </w:tr>
    </w:tbl>
    <w:p>
      <w:pPr>
        <w:spacing w:after="0" w:line="207" w:lineRule="exact"/>
        <w:rPr>
          <w:sz w:val="20"/>
          <w:szCs w:val="20"/>
          <w:color w:val="auto"/>
        </w:rPr>
      </w:pPr>
    </w:p>
    <w:p>
      <w:pPr>
        <w:jc w:val="both"/>
        <w:ind w:firstLine="8"/>
        <w:spacing w:after="0" w:line="246" w:lineRule="auto"/>
        <w:tabs>
          <w:tab w:leader="none" w:pos="332" w:val="left"/>
        </w:tabs>
        <w:numPr>
          <w:ilvl w:val="0"/>
          <w:numId w:val="15"/>
        </w:numPr>
        <w:rPr>
          <w:rFonts w:ascii="Arial" w:cs="Arial" w:eastAsia="Arial" w:hAnsi="Arial"/>
          <w:sz w:val="21"/>
          <w:szCs w:val="21"/>
          <w:color w:val="auto"/>
        </w:rPr>
      </w:pPr>
      <w:r>
        <w:rPr>
          <w:rFonts w:ascii="Arial" w:cs="Arial" w:eastAsia="Arial" w:hAnsi="Arial"/>
          <w:sz w:val="21"/>
          <w:szCs w:val="21"/>
          <w:color w:val="auto"/>
        </w:rPr>
        <w:t>Scott M. Hendler is signing on behalf of O. Andreas Halvorsen, individually and as an Executive Committee Member of VIKING GLOBAL PARTNERS LLC, on behalf of VIKING GLOBAL INVESTORS LP (for itself and as manager of KAVRA 16 LLC),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211" w:lineRule="exact"/>
        <w:rPr>
          <w:rFonts w:ascii="Arial" w:cs="Arial" w:eastAsia="Arial" w:hAnsi="Arial"/>
          <w:sz w:val="21"/>
          <w:szCs w:val="21"/>
          <w:color w:val="auto"/>
        </w:rPr>
      </w:pPr>
    </w:p>
    <w:p>
      <w:pPr>
        <w:jc w:val="both"/>
        <w:ind w:firstLine="8"/>
        <w:spacing w:after="0" w:line="234" w:lineRule="auto"/>
        <w:tabs>
          <w:tab w:leader="none" w:pos="331" w:val="left"/>
        </w:tabs>
        <w:numPr>
          <w:ilvl w:val="0"/>
          <w:numId w:val="15"/>
        </w:numPr>
        <w:rPr>
          <w:rFonts w:ascii="Arial" w:cs="Arial" w:eastAsia="Arial" w:hAnsi="Arial"/>
          <w:sz w:val="22"/>
          <w:szCs w:val="22"/>
          <w:color w:val="auto"/>
        </w:rPr>
      </w:pPr>
      <w:r>
        <w:rPr>
          <w:rFonts w:ascii="Arial" w:cs="Arial" w:eastAsia="Arial" w:hAnsi="Arial"/>
          <w:sz w:val="22"/>
          <w:szCs w:val="22"/>
          <w:color w:val="auto"/>
        </w:rPr>
        <w:t>Scott M. Hendler is signing on behalf of David C. Ott, individually and as an Executive Committee Member of VIKING GLOBAL PARTNERS LLC, on behalf of VIKING GLOBAL INVESTORS LP (for itself and as manager of KAVRA 16 LLC),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217" w:lineRule="exact"/>
        <w:rPr>
          <w:rFonts w:ascii="Arial" w:cs="Arial" w:eastAsia="Arial" w:hAnsi="Arial"/>
          <w:sz w:val="22"/>
          <w:szCs w:val="22"/>
          <w:color w:val="auto"/>
        </w:rPr>
      </w:pPr>
    </w:p>
    <w:p>
      <w:pPr>
        <w:jc w:val="both"/>
        <w:ind w:firstLine="8"/>
        <w:spacing w:after="0" w:line="234" w:lineRule="auto"/>
        <w:tabs>
          <w:tab w:leader="none" w:pos="321" w:val="left"/>
        </w:tabs>
        <w:numPr>
          <w:ilvl w:val="0"/>
          <w:numId w:val="15"/>
        </w:numPr>
        <w:rPr>
          <w:rFonts w:ascii="Arial" w:cs="Arial" w:eastAsia="Arial" w:hAnsi="Arial"/>
          <w:sz w:val="22"/>
          <w:szCs w:val="22"/>
          <w:color w:val="auto"/>
        </w:rPr>
      </w:pPr>
      <w:r>
        <w:rPr>
          <w:rFonts w:ascii="Arial" w:cs="Arial" w:eastAsia="Arial" w:hAnsi="Arial"/>
          <w:sz w:val="22"/>
          <w:szCs w:val="22"/>
          <w:color w:val="auto"/>
        </w:rPr>
        <w:t>Scott M. Hendler is signing on behalf of Rose S. Shabet, individually and as an Executive Committee Member of VIKING GLOBAL PARTNERS LLC, on behalf of VIKING GLOBAL INVESTORS LP (for itself and as manager of KAVRA 16 LLC),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1)"/>
      <w:numFmt w:val="lowerLetter"/>
      <w:start w:val="9"/>
    </w:lvl>
  </w:abstractNum>
  <w:abstractNum w:abstractNumId="3">
    <w:nsid w:val="12200854"/>
    <w:multiLevelType w:val="hybridMultilevel"/>
    <w:lvl w:ilvl="0">
      <w:lvlJc w:val="left"/>
      <w:lvlText w:val="(%1)"/>
      <w:numFmt w:val="lowerLetter"/>
      <w:start w:val="1"/>
    </w:lvl>
    <w:lvl w:ilvl="1">
      <w:lvlJc w:val="left"/>
      <w:lvlText w:val="(%2)"/>
      <w:numFmt w:val="lowerRoman"/>
      <w:start w:val="1"/>
    </w:lvl>
  </w:abstractNum>
  <w:abstractNum w:abstractNumId="4">
    <w:nsid w:val="4DB127F8"/>
    <w:multiLevelType w:val="hybridMultilevel"/>
    <w:lvl w:ilvl="0">
      <w:lvlJc w:val="left"/>
      <w:lvlText w:val="(%1)"/>
      <w:numFmt w:val="lowerLetter"/>
      <w:start w:val="1"/>
    </w:lvl>
    <w:lvl w:ilvl="1">
      <w:lvlJc w:val="left"/>
      <w:lvlText w:val="(%2)"/>
      <w:numFmt w:val="lowerRoman"/>
      <w:start w:val="1"/>
    </w:lvl>
  </w:abstractNum>
  <w:abstractNum w:abstractNumId="5">
    <w:nsid w:val="216231B"/>
    <w:multiLevelType w:val="hybridMultilevel"/>
    <w:lvl w:ilvl="0">
      <w:lvlJc w:val="left"/>
      <w:lvlText w:val="(%1)"/>
      <w:numFmt w:val="lowerLetter"/>
      <w:start w:val="1"/>
    </w:lvl>
    <w:lvl w:ilvl="1">
      <w:lvlJc w:val="left"/>
      <w:lvlText w:val="(%2)"/>
      <w:numFmt w:val="lowerRoman"/>
      <w:start w:val="1"/>
    </w:lvl>
  </w:abstractNum>
  <w:abstractNum w:abstractNumId="6">
    <w:nsid w:val="1F16E9E8"/>
    <w:multiLevelType w:val="hybridMultilevel"/>
    <w:lvl w:ilvl="0">
      <w:lvlJc w:val="left"/>
      <w:lvlText w:val="(%1)"/>
      <w:numFmt w:val="lowerLetter"/>
      <w:start w:val="1"/>
    </w:lvl>
    <w:lvl w:ilvl="1">
      <w:lvlJc w:val="left"/>
      <w:lvlText w:val="(%2)"/>
      <w:numFmt w:val="lowerRoman"/>
      <w:start w:val="1"/>
    </w:lvl>
  </w:abstractNum>
  <w:abstractNum w:abstractNumId="7">
    <w:nsid w:val="1190CDE7"/>
    <w:multiLevelType w:val="hybridMultilevel"/>
    <w:lvl w:ilvl="0">
      <w:lvlJc w:val="left"/>
      <w:lvlText w:val="(%1)"/>
      <w:numFmt w:val="lowerLetter"/>
      <w:start w:val="1"/>
    </w:lvl>
    <w:lvl w:ilvl="1">
      <w:lvlJc w:val="left"/>
      <w:lvlText w:val="(%2)"/>
      <w:numFmt w:val="lowerLetter"/>
      <w:start w:val="9"/>
    </w:lvl>
  </w:abstractNum>
  <w:abstractNum w:abstractNumId="8">
    <w:nsid w:val="66EF438D"/>
    <w:multiLevelType w:val="hybridMultilevel"/>
    <w:lvl w:ilvl="0">
      <w:lvlJc w:val="left"/>
      <w:lvlText w:val="(%1)"/>
      <w:numFmt w:val="lowerRoman"/>
      <w:start w:val="2"/>
    </w:lvl>
  </w:abstractNum>
  <w:abstractNum w:abstractNumId="9">
    <w:nsid w:val="140E0F76"/>
    <w:multiLevelType w:val="hybridMultilevel"/>
    <w:lvl w:ilvl="0">
      <w:lvlJc w:val="left"/>
      <w:lvlText w:val="(%1)"/>
      <w:numFmt w:val="lowerRoman"/>
      <w:start w:val="3"/>
    </w:lvl>
  </w:abstractNum>
  <w:abstractNum w:abstractNumId="10">
    <w:nsid w:val="3352255A"/>
    <w:multiLevelType w:val="hybridMultilevel"/>
    <w:lvl w:ilvl="0">
      <w:lvlJc w:val="left"/>
      <w:lvlText w:val="%1."/>
      <w:numFmt w:val="upperLetter"/>
      <w:start w:val="6"/>
    </w:lvl>
  </w:abstractNum>
  <w:abstractNum w:abstractNumId="11">
    <w:nsid w:val="109CF92E"/>
    <w:multiLevelType w:val="hybridMultilevel"/>
    <w:lvl w:ilvl="0">
      <w:lvlJc w:val="left"/>
      <w:lvlText w:val="(%1)"/>
      <w:numFmt w:val="lowerLetter"/>
      <w:start w:val="1"/>
    </w:lvl>
    <w:lvl w:ilvl="1">
      <w:lvlJc w:val="left"/>
      <w:lvlText w:val="(%2)"/>
      <w:numFmt w:val="lowerRoman"/>
      <w:start w:val="1"/>
    </w:lvl>
  </w:abstractNum>
  <w:abstractNum w:abstractNumId="12">
    <w:nsid w:val="DED7263"/>
    <w:multiLevelType w:val="hybridMultilevel"/>
    <w:lvl w:ilvl="0">
      <w:lvlJc w:val="left"/>
      <w:lvlText w:val="(%1)"/>
      <w:numFmt w:val="lowerLetter"/>
      <w:start w:val="1"/>
    </w:lvl>
    <w:lvl w:ilvl="1">
      <w:lvlJc w:val="left"/>
      <w:lvlText w:val="(%2)"/>
      <w:numFmt w:val="lowerRoman"/>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2022-05-20T15:19:17Z</dcterms:created>
  <dcterms:modified xsi:type="dcterms:W3CDTF">2022-05-20T15:19:17Z</dcterms:modified>
</cp:coreProperties>
</file>