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epg_s-8_2025.htm"/>
      <w:bookmarkStart w:id="1" w:name="kspepg_s8_2025"/>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0"/>
        </w:rPr>
        <w:t>As filed with the Securities and Exchange Commission on February 24, 2025</w:t>
      </w:r>
      <w:r>
        <w:rPr>
          <w:rFonts w:ascii="Times New Roman" w:hAnsi="Times New Roman"/>
          <w:color w:val="000000"/>
          <w:sz w:val="20"/>
        </w:rPr>
        <w:t xml:space="preserve"> </w:t>
      </w:r>
    </w:p>
    <w:p>
      <w:pPr>
        <w:pStyle w:val="TextBody"/>
        <w:bidi w:val="0"/>
        <w:spacing w:before="240" w:after="283"/>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PEPGEN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85-3819886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321 Harrison Avenue</w:t>
      </w:r>
    </w:p>
    <w:p>
      <w:pPr>
        <w:pStyle w:val="TextBody"/>
        <w:bidi w:val="0"/>
        <w:jc w:val="center"/>
        <w:rPr>
          <w:rFonts w:ascii="Times New Roman" w:hAnsi="Times New Roman"/>
          <w:b/>
          <w:color w:val="000000"/>
          <w:sz w:val="20"/>
        </w:rPr>
      </w:pPr>
      <w:r>
        <w:rPr>
          <w:rFonts w:ascii="Times New Roman" w:hAnsi="Times New Roman"/>
          <w:b/>
          <w:color w:val="000000"/>
          <w:sz w:val="20"/>
        </w:rPr>
        <w:t>Boston, Massachusetts 02118</w:t>
      </w:r>
    </w:p>
    <w:p>
      <w:pPr>
        <w:pStyle w:val="TextBody"/>
        <w:bidi w:val="0"/>
        <w:jc w:val="center"/>
        <w:rPr>
          <w:rFonts w:ascii="Times New Roman" w:hAnsi="Times New Roman"/>
          <w:b/>
          <w:color w:val="000000"/>
          <w:sz w:val="20"/>
        </w:rPr>
      </w:pPr>
      <w:r>
        <w:rPr>
          <w:rFonts w:ascii="Times New Roman" w:hAnsi="Times New Roman"/>
          <w:b/>
          <w:color w:val="000000"/>
          <w:sz w:val="20"/>
        </w:rPr>
        <w:t>(781) 797-0979</w:t>
      </w:r>
    </w:p>
    <w:p>
      <w:pPr>
        <w:pStyle w:val="TextBody"/>
        <w:bidi w:val="0"/>
        <w:jc w:val="center"/>
        <w:rPr>
          <w:rFonts w:ascii="Times New Roman" w:hAnsi="Times New Roman"/>
          <w:sz w:val="20"/>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PepGen Inc. 2022 Stock Option and Incentive Plan</w:t>
      </w:r>
    </w:p>
    <w:p>
      <w:pPr>
        <w:pStyle w:val="TextBody"/>
        <w:bidi w:val="0"/>
        <w:jc w:val="center"/>
        <w:rPr>
          <w:rFonts w:ascii="Times New Roman" w:hAnsi="Times New Roman"/>
          <w:sz w:val="20"/>
        </w:rPr>
      </w:pPr>
      <w:r>
        <w:rPr>
          <w:rFonts w:ascii="Times New Roman" w:hAnsi="Times New Roman"/>
          <w:b/>
          <w:color w:val="000000"/>
          <w:sz w:val="20"/>
        </w:rPr>
        <w:t>PepGen Inc. 2022 Employee Stock Purchase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PepGen Inc. 2024 Inducement Plan</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James McArthur, Ph.D.</w:t>
      </w:r>
    </w:p>
    <w:p>
      <w:pPr>
        <w:pStyle w:val="TextBody"/>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PepGen Inc.</w:t>
      </w:r>
    </w:p>
    <w:p>
      <w:pPr>
        <w:pStyle w:val="TextBody"/>
        <w:bidi w:val="0"/>
        <w:jc w:val="center"/>
        <w:rPr>
          <w:rFonts w:ascii="Times New Roman" w:hAnsi="Times New Roman"/>
          <w:b/>
          <w:color w:val="000000"/>
          <w:sz w:val="20"/>
        </w:rPr>
      </w:pPr>
      <w:r>
        <w:rPr>
          <w:rFonts w:ascii="Times New Roman" w:hAnsi="Times New Roman"/>
          <w:b/>
          <w:color w:val="000000"/>
          <w:sz w:val="20"/>
        </w:rPr>
        <w:t>321 Harrison Avenue</w:t>
      </w:r>
    </w:p>
    <w:p>
      <w:pPr>
        <w:pStyle w:val="TextBody"/>
        <w:bidi w:val="0"/>
        <w:jc w:val="center"/>
        <w:rPr>
          <w:rFonts w:ascii="Times New Roman" w:hAnsi="Times New Roman"/>
          <w:b/>
          <w:color w:val="000000"/>
          <w:sz w:val="20"/>
        </w:rPr>
      </w:pPr>
      <w:r>
        <w:rPr>
          <w:rFonts w:ascii="Times New Roman" w:hAnsi="Times New Roman"/>
          <w:b/>
          <w:color w:val="000000"/>
          <w:sz w:val="20"/>
        </w:rPr>
        <w:t>Boston, Massachusetts 02118</w:t>
      </w:r>
    </w:p>
    <w:p>
      <w:pPr>
        <w:pStyle w:val="TextBody"/>
        <w:bidi w:val="0"/>
        <w:jc w:val="center"/>
        <w:rPr>
          <w:rFonts w:ascii="Times New Roman" w:hAnsi="Times New Roman"/>
          <w:sz w:val="20"/>
        </w:rPr>
      </w:pPr>
      <w:r>
        <w:rPr>
          <w:rFonts w:ascii="Times New Roman" w:hAnsi="Times New Roman"/>
          <w:b/>
          <w:color w:val="000000"/>
          <w:sz w:val="20"/>
        </w:rPr>
        <w:t>(781) 797-0979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Richard Hoffman, Esq.</w:t>
      </w:r>
    </w:p>
    <w:p>
      <w:pPr>
        <w:pStyle w:val="TextBody"/>
        <w:bidi w:val="0"/>
        <w:jc w:val="center"/>
        <w:rPr>
          <w:rFonts w:ascii="Times New Roman" w:hAnsi="Times New Roman"/>
          <w:b/>
          <w:color w:val="000000"/>
          <w:sz w:val="20"/>
        </w:rPr>
      </w:pPr>
      <w:r>
        <w:rPr>
          <w:rFonts w:ascii="Times New Roman" w:hAnsi="Times New Roman"/>
          <w:b/>
          <w:color w:val="000000"/>
          <w:sz w:val="20"/>
        </w:rPr>
        <w:t>Finnbarr Murphy, Esq.</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Alicia Tschirhart, Esq.</w:t>
      </w:r>
    </w:p>
    <w:p>
      <w:pPr>
        <w:pStyle w:val="TextBody"/>
        <w:bidi w:val="0"/>
        <w:jc w:val="center"/>
        <w:rPr>
          <w:rFonts w:ascii="Times New Roman" w:hAnsi="Times New Roman"/>
          <w:b/>
          <w:color w:val="000000"/>
          <w:sz w:val="20"/>
        </w:rPr>
      </w:pPr>
      <w:r>
        <w:rPr>
          <w:rFonts w:ascii="Times New Roman" w:hAnsi="Times New Roman"/>
          <w:b/>
          <w:color w:val="000000"/>
          <w:sz w:val="20"/>
        </w:rPr>
        <w:t>Goodwin Procter LLP</w:t>
      </w:r>
    </w:p>
    <w:p>
      <w:pPr>
        <w:pStyle w:val="TextBody"/>
        <w:bidi w:val="0"/>
        <w:jc w:val="center"/>
        <w:rPr>
          <w:rFonts w:ascii="Times New Roman" w:hAnsi="Times New Roman"/>
          <w:b/>
          <w:color w:val="000000"/>
          <w:sz w:val="20"/>
        </w:rPr>
      </w:pPr>
      <w:r>
        <w:rPr>
          <w:rFonts w:ascii="Times New Roman" w:hAnsi="Times New Roman"/>
          <w:b/>
          <w:color w:val="000000"/>
          <w:sz w:val="20"/>
        </w:rPr>
        <w:t>100 Northern Avenue</w:t>
      </w:r>
    </w:p>
    <w:p>
      <w:pPr>
        <w:pStyle w:val="TextBody"/>
        <w:bidi w:val="0"/>
        <w:jc w:val="center"/>
        <w:rPr>
          <w:rFonts w:ascii="Times New Roman" w:hAnsi="Times New Roman"/>
          <w:b/>
          <w:color w:val="000000"/>
          <w:sz w:val="20"/>
        </w:rPr>
      </w:pPr>
      <w:r>
        <w:rPr>
          <w:rFonts w:ascii="Times New Roman" w:hAnsi="Times New Roman"/>
          <w:b/>
          <w:color w:val="000000"/>
          <w:sz w:val="20"/>
        </w:rPr>
        <w:t>Boston, Massachusetts 02210</w:t>
      </w:r>
    </w:p>
    <w:p>
      <w:pPr>
        <w:pStyle w:val="TextBody"/>
        <w:bidi w:val="0"/>
        <w:jc w:val="center"/>
        <w:rPr>
          <w:rFonts w:ascii="Times New Roman" w:hAnsi="Times New Roman"/>
          <w:b/>
          <w:color w:val="000000"/>
          <w:sz w:val="20"/>
        </w:rPr>
      </w:pPr>
      <w:r>
        <w:rPr>
          <w:rFonts w:ascii="Times New Roman" w:hAnsi="Times New Roman"/>
          <w:b/>
          <w:color w:val="000000"/>
          <w:sz w:val="20"/>
        </w:rPr>
        <w:t>(617) 570-1000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36" w:type="dxa"/>
        <w:jc w:val="left"/>
        <w:tblInd w:w="0" w:type="dxa"/>
        <w:tblLayout w:type="fixed"/>
        <w:tblCellMar>
          <w:top w:w="28" w:type="dxa"/>
          <w:left w:w="28" w:type="dxa"/>
          <w:bottom w:w="28" w:type="dxa"/>
          <w:right w:w="28" w:type="dxa"/>
        </w:tblCellMar>
      </w:tblPr>
      <w:tblGrid>
        <w:gridCol w:w="1921"/>
        <w:gridCol w:w="109"/>
        <w:gridCol w:w="316"/>
        <w:gridCol w:w="109"/>
        <w:gridCol w:w="2311"/>
        <w:gridCol w:w="109"/>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pPr>
      <w:r>
        <w:rPr/>
        <w:t> </w:t>
      </w:r>
    </w:p>
    <w:p>
      <w:pPr>
        <w:pStyle w:val="TextBody"/>
        <w:bidi w:val="0"/>
        <w:jc w:val="left"/>
        <w:rPr/>
      </w:pPr>
      <w:r>
        <w:rPr/>
        <w:t> </w:t>
      </w:r>
    </w:p>
    <w:p>
      <w:pPr>
        <w:pStyle w:val="TextBody"/>
        <w:bidi w:val="0"/>
        <w:spacing w:before="216"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center"/>
        <w:rPr>
          <w:rFonts w:ascii="Times New Roman" w:hAnsi="Times New Roman"/>
          <w:b/>
          <w:color w:val="000000"/>
          <w:sz w:val="18"/>
        </w:rPr>
      </w:pPr>
      <w:r>
        <w:rPr>
          <w:rFonts w:ascii="Times New Roman" w:hAnsi="Times New Roman"/>
          <w:b/>
          <w:color w:val="000000"/>
          <w:sz w:val="18"/>
        </w:rPr>
        <w:t>REGISTRATION OF ADDITIONAL SECURITIES PURSUANT TO GENERAL INSTRUCTIONS E</w:t>
      </w:r>
    </w:p>
    <w:p>
      <w:pPr>
        <w:pStyle w:val="TextBody"/>
        <w:bidi w:val="0"/>
        <w:spacing w:before="216" w:after="283"/>
        <w:jc w:val="left"/>
        <w:rPr/>
      </w:pPr>
      <w:r>
        <w:rPr>
          <w:rFonts w:ascii="Times New Roman" w:hAnsi="Times New Roman"/>
          <w:color w:val="000000"/>
          <w:sz w:val="20"/>
        </w:rPr>
        <w:t>This Registration Statement on Form S-8 (this “Registration Statement”) is being filed by PepGen Inc. (the “registrant”) with the Securities and Exchange Commission (the “Commission”) to register 1,630,983 additional shares of its common stock, par value $0.0001 per share (the “Common Stock”), reserved for issuance under the PepGen Inc. 2022 Stock Option and Incentive Plan (the “2022 Plan”) and 326,196 additional shares of its Common Stock, reserved for issuance under the 2022 Employee Stock Purchase Plan (the “2022 ESPP”), pursuant to the “evergreen” provisions of the 2022 Plan and the 2022 ESPP. The number of shares of Common Stock reserved and available for issuance under the 2022 Plan is subject to an automatic annual increase on each January 1, in an amount equal to the lesser of: (i) 5% of the outstanding shares on the immediately preceding December 31, or (ii) such lesser amount as determined by the Administrator. The number of shares of Common Stock reserved and available for issuance under the 2022 ESPP is subject to an automatic annual increase by the least of (i) one percent (1%) of the number of shares of Common Stock issued and outstanding on the immediately preceding December 31st, (ii) 678,000 shares of Common Stock or (iii) such number of shares of Common Stock as determined by the Administrator. The additional shares are of the same class as other securities relating to the 2022 Plan and the 2022 ESPP for which the registrant’s registration statements filed on Form S-8 with the Commission on May 10, 2022 (</w:t>
      </w:r>
      <w:hyperlink r:id="rId2">
        <w:r>
          <w:rPr>
            <w:rStyle w:val="InternetLink"/>
            <w:rFonts w:ascii="Times New Roman" w:hAnsi="Times New Roman"/>
            <w:color w:val="0000FF"/>
            <w:sz w:val="20"/>
            <w:u w:val="single"/>
          </w:rPr>
          <w:t>File No. 333-264822</w:t>
        </w:r>
      </w:hyperlink>
      <w:r>
        <w:rPr>
          <w:rFonts w:ascii="Times New Roman" w:hAnsi="Times New Roman"/>
          <w:color w:val="000000"/>
          <w:sz w:val="20"/>
        </w:rPr>
        <w:t>), March 23, 2023 (</w:t>
      </w:r>
      <w:hyperlink r:id="rId3">
        <w:r>
          <w:rPr>
            <w:rStyle w:val="InternetLink"/>
            <w:rFonts w:ascii="Times New Roman" w:hAnsi="Times New Roman"/>
            <w:color w:val="0000FF"/>
            <w:sz w:val="20"/>
            <w:u w:val="single"/>
          </w:rPr>
          <w:t>File No. 333-270790</w:t>
        </w:r>
      </w:hyperlink>
      <w:r>
        <w:rPr>
          <w:rFonts w:ascii="Times New Roman" w:hAnsi="Times New Roman"/>
          <w:color w:val="000000"/>
          <w:sz w:val="20"/>
        </w:rPr>
        <w:t>) and March 6, 2024 (</w:t>
      </w:r>
      <w:hyperlink r:id="rId4">
        <w:r>
          <w:rPr>
            <w:rStyle w:val="InternetLink"/>
            <w:rFonts w:ascii="Times New Roman" w:hAnsi="Times New Roman"/>
            <w:color w:val="0000FF"/>
            <w:sz w:val="20"/>
            <w:u w:val="single"/>
          </w:rPr>
          <w:t>File No. 333-277708</w:t>
        </w:r>
      </w:hyperlink>
      <w:r>
        <w:rPr>
          <w:rFonts w:ascii="Times New Roman" w:hAnsi="Times New Roman"/>
          <w:color w:val="000000"/>
          <w:sz w:val="20"/>
        </w:rPr>
        <w:t>) are effective.</w:t>
      </w:r>
    </w:p>
    <w:p>
      <w:pPr>
        <w:pStyle w:val="TextBody"/>
        <w:bidi w:val="0"/>
        <w:spacing w:before="216" w:after="283"/>
        <w:jc w:val="left"/>
        <w:rPr/>
      </w:pPr>
      <w:r>
        <w:rPr>
          <w:rFonts w:ascii="Times New Roman" w:hAnsi="Times New Roman"/>
          <w:color w:val="000000"/>
          <w:sz w:val="20"/>
        </w:rPr>
        <w:t>Pursuant to General Instruction E of Form S-8 regarding Registration of Additional Securities, the contents of the Registration Statements on Form S-8 filed with the Commission on May 10, 2022 (</w:t>
      </w:r>
      <w:hyperlink r:id="rId5">
        <w:r>
          <w:rPr>
            <w:rStyle w:val="InternetLink"/>
            <w:rFonts w:ascii="Times New Roman" w:hAnsi="Times New Roman"/>
            <w:color w:val="0000FF"/>
            <w:sz w:val="20"/>
            <w:u w:val="single"/>
          </w:rPr>
          <w:t>File No. 333-264822</w:t>
        </w:r>
      </w:hyperlink>
      <w:r>
        <w:rPr>
          <w:rFonts w:ascii="Times New Roman" w:hAnsi="Times New Roman"/>
          <w:color w:val="000000"/>
          <w:sz w:val="20"/>
        </w:rPr>
        <w:t>), March 23, 2023 (</w:t>
      </w:r>
      <w:hyperlink r:id="rId6">
        <w:r>
          <w:rPr>
            <w:rStyle w:val="InternetLink"/>
            <w:rFonts w:ascii="Times New Roman" w:hAnsi="Times New Roman"/>
            <w:color w:val="0000FF"/>
            <w:sz w:val="20"/>
            <w:u w:val="single"/>
          </w:rPr>
          <w:t>File No. 333-270790</w:t>
        </w:r>
      </w:hyperlink>
      <w:r>
        <w:rPr>
          <w:rFonts w:ascii="Times New Roman" w:hAnsi="Times New Roman"/>
          <w:color w:val="000000"/>
          <w:sz w:val="20"/>
        </w:rPr>
        <w:t>) and March 6, 2024 (</w:t>
      </w:r>
      <w:hyperlink r:id="rId7">
        <w:r>
          <w:rPr>
            <w:rStyle w:val="InternetLink"/>
            <w:rFonts w:ascii="Times New Roman" w:hAnsi="Times New Roman"/>
            <w:color w:val="0000FF"/>
            <w:sz w:val="20"/>
            <w:u w:val="single"/>
          </w:rPr>
          <w:t>File No. 333-277708</w:t>
        </w:r>
      </w:hyperlink>
      <w:r>
        <w:rPr>
          <w:rFonts w:ascii="Times New Roman" w:hAnsi="Times New Roman"/>
          <w:color w:val="000000"/>
          <w:sz w:val="20"/>
        </w:rPr>
        <w:t>) are hereby incorporated by reference in this Registration Statement, except to the extent supplemented, amended or superseded by the information set forth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Registration Statement is also being filed for the purpose of registering 1,000,000 shares of common stock reserved and available for issuance under the PepGen Inc. 2024 Inducement Plan (the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15, 2024, the registrant’s board of directors adopted the Inducement Plan pursuant to which the registrant reserved 1,000,000 shares of its Common Stock, to be used exclusively for grants of equity awards to individuals who were not previously employees of the registrant, as an inducement material to the individual’s entry into employment with the registrant within the meaning of Rule 5635(c)(4) of the Nasdaq Listing Rules. The Inducement Plan provides for the grant of equity-based awards in the form of non-qualified stock options, stock appreciation rights, restricted stock awards, restricted stock unit awards, unrestricted stock awards, and dividend equivalent rights. The Inducement Plan was adopted by the registrant’s board of directors without stockholder approval pursuant to Rule 5635(c)(4) of the Nasdaq Listing Rules.</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documents containing the information specified in this Item 1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 Registrant Information and Employee Plan Annual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hereby incorporates by reference into this Registration Statement the following documents filed with the SEC:</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55"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Annual Report on Form 10-K for the year ended December 31, 2024, filed by the registrant with the SEC on </w:t>
            </w:r>
            <w:hyperlink r:id="rId8">
              <w:r>
                <w:rPr>
                  <w:rStyle w:val="InternetLink"/>
                  <w:rFonts w:ascii="Times New Roman" w:hAnsi="Times New Roman"/>
                  <w:color w:val="0000FF"/>
                  <w:sz w:val="20"/>
                  <w:u w:val="single"/>
                </w:rPr>
                <w:t>February 24, 2025</w:t>
              </w:r>
            </w:hyperlink>
            <w:r>
              <w:rPr>
                <w:rFonts w:ascii="Times New Roman" w:hAnsi="Times New Roman"/>
                <w:color w:val="000000"/>
                <w:sz w:val="20"/>
              </w:rPr>
              <w:t xml:space="preserve"> (including the information specifically incorporated by reference therein from the registrant’s definitive proxy statement relating to the 2025 annual meeting of stockholders (other than information furnished rather than filed);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55"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Current Report on Form 8-K filed with the SEC on </w:t>
            </w:r>
            <w:hyperlink r:id="rId9">
              <w:r>
                <w:rPr>
                  <w:rStyle w:val="InternetLink"/>
                  <w:rFonts w:ascii="Times New Roman" w:hAnsi="Times New Roman"/>
                  <w:color w:val="0000FF"/>
                  <w:sz w:val="20"/>
                  <w:u w:val="single"/>
                </w:rPr>
                <w:t>January 29, 2025</w:t>
              </w:r>
            </w:hyperlink>
            <w:r>
              <w:rPr>
                <w:rFonts w:ascii="Times New Roman" w:hAnsi="Times New Roman"/>
                <w:color w:val="000000"/>
                <w:sz w:val="20"/>
              </w:rPr>
              <w:t xml:space="preserve">; and </w:t>
            </w:r>
          </w:p>
        </w:tc>
      </w:tr>
    </w:tbl>
    <w:tbl>
      <w:tblPr>
        <w:tblW w:w="10205" w:type="dxa"/>
        <w:jc w:val="left"/>
        <w:tblInd w:w="0" w:type="dxa"/>
        <w:tblLayout w:type="fixed"/>
        <w:tblCellMar>
          <w:top w:w="28" w:type="dxa"/>
          <w:left w:w="28" w:type="dxa"/>
          <w:bottom w:w="28" w:type="dxa"/>
          <w:right w:w="28" w:type="dxa"/>
        </w:tblCellMar>
      </w:tblPr>
      <w:tblGrid>
        <w:gridCol w:w="124"/>
        <w:gridCol w:w="273"/>
        <w:gridCol w:w="9808"/>
      </w:tblGrid>
      <w:tr>
        <w:trPr/>
        <w:tc>
          <w:tcPr>
            <w:tcW w:w="1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80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08"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The description of the registrant’s common stock contained in the registrant’s Registration Statement on Form 8-A (</w:t>
            </w:r>
            <w:hyperlink r:id="rId10">
              <w:r>
                <w:rPr>
                  <w:rStyle w:val="InternetLink"/>
                  <w:rFonts w:ascii="Times New Roman" w:hAnsi="Times New Roman"/>
                  <w:color w:val="0000FF"/>
                  <w:sz w:val="20"/>
                  <w:u w:val="single"/>
                </w:rPr>
                <w:t>File No. 001-41374</w:t>
              </w:r>
            </w:hyperlink>
            <w:r>
              <w:rPr>
                <w:rFonts w:ascii="Times New Roman" w:hAnsi="Times New Roman"/>
                <w:color w:val="000000"/>
                <w:sz w:val="20"/>
              </w:rPr>
              <w:t>), filed by the registrant with the SEC under Section 12(b) of the Securities Exchange Act of 1934, as amended (the “Exchange Act”), on May 3, 2022, including any amendments or reports filed for the purpose of updating such description.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no circumstances will any information filed under current items 2.02 or 7.01 of Form 8-K be deemed incorporated herein by reference unless such Form 8-K expressly provides to the contrary.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if the director or officer acted in good faith and in a manner the director or officer reasonably believed to be in or not opposed to the best interests of the corporation, and, with respect to any criminal action or proceeding, had no reasonable cause to believe the director or officer’s conduct was unlawful.. Section 145 permits corporations to pay expenses (including attorneys’ fees) incurred by directors and officers in advance of the final disposition of such action, suit or proceeding upon receipt of an undertaking by or on behalf of such director or officer to repay such amount if it shall ultimately be determined that such director or officer is not entitled to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indemnified by the corporation as authorized in Section 145.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provisions, in our third amended and restated certificate of incorporation and second amended and restated bylaws, that limit or eliminate the personal liability of our officers and directors to the fullest extent permitted by the DGCL, as it now exists or may in the future be amended. Consequently, an officer or director will not be personally liable to us or our stockholders for monetary damages or breach of fiduciary duty as an officer or director, except for liability for:</w:t>
      </w:r>
    </w:p>
    <w:tbl>
      <w:tblPr>
        <w:tblW w:w="6973" w:type="dxa"/>
        <w:jc w:val="left"/>
        <w:tblInd w:w="0" w:type="dxa"/>
        <w:tblLayout w:type="fixed"/>
        <w:tblCellMar>
          <w:top w:w="28" w:type="dxa"/>
          <w:left w:w="28" w:type="dxa"/>
          <w:bottom w:w="28" w:type="dxa"/>
          <w:right w:w="28" w:type="dxa"/>
        </w:tblCellMar>
      </w:tblPr>
      <w:tblGrid>
        <w:gridCol w:w="124"/>
        <w:gridCol w:w="109"/>
        <w:gridCol w:w="109"/>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breach of the officer’s or director’s duty of loyalty to us or our stockholders;</w:t>
            </w:r>
          </w:p>
        </w:tc>
      </w:tr>
    </w:tbl>
    <w:tbl>
      <w:tblPr>
        <w:tblW w:w="9238" w:type="dxa"/>
        <w:jc w:val="left"/>
        <w:tblInd w:w="0" w:type="dxa"/>
        <w:tblLayout w:type="fixed"/>
        <w:tblCellMar>
          <w:top w:w="28" w:type="dxa"/>
          <w:left w:w="28" w:type="dxa"/>
          <w:bottom w:w="28" w:type="dxa"/>
          <w:right w:w="28" w:type="dxa"/>
        </w:tblCellMar>
      </w:tblPr>
      <w:tblGrid>
        <w:gridCol w:w="124"/>
        <w:gridCol w:w="109"/>
        <w:gridCol w:w="109"/>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tc>
      </w:tr>
    </w:tbl>
    <w:tbl>
      <w:tblPr>
        <w:tblW w:w="9343" w:type="dxa"/>
        <w:jc w:val="left"/>
        <w:tblInd w:w="0" w:type="dxa"/>
        <w:tblLayout w:type="fixed"/>
        <w:tblCellMar>
          <w:top w:w="28" w:type="dxa"/>
          <w:left w:w="28" w:type="dxa"/>
          <w:bottom w:w="28" w:type="dxa"/>
          <w:right w:w="28" w:type="dxa"/>
        </w:tblCellMar>
      </w:tblPr>
      <w:tblGrid>
        <w:gridCol w:w="124"/>
        <w:gridCol w:w="109"/>
        <w:gridCol w:w="109"/>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act related to unlawful stock repurchases, redemptions or other distributions or payments of dividends; or</w:t>
            </w:r>
          </w:p>
        </w:tc>
      </w:tr>
    </w:tbl>
    <w:tbl>
      <w:tblPr>
        <w:tblW w:w="7528" w:type="dxa"/>
        <w:jc w:val="left"/>
        <w:tblInd w:w="0" w:type="dxa"/>
        <w:tblLayout w:type="fixed"/>
        <w:tblCellMar>
          <w:top w:w="28" w:type="dxa"/>
          <w:left w:w="28" w:type="dxa"/>
          <w:bottom w:w="28" w:type="dxa"/>
          <w:right w:w="28" w:type="dxa"/>
        </w:tblCellMar>
      </w:tblPr>
      <w:tblGrid>
        <w:gridCol w:w="124"/>
        <w:gridCol w:w="109"/>
        <w:gridCol w:w="109"/>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transaction from which the officer or director derived an improper personal benefit.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limitations of liability do not limit or eliminate our rights or any stockholder’s rights to seek non-monetary relief, such as injunctive relief or rescission. The provisions will not alter director liability under other laws, such as the federal securities laws or other state or federal laws. Our amended and restated certificate of incorporation also authorizes us to indemnify our officers, directors and other agents to the fullest extent permitted under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bylaws provide that:</w:t>
      </w:r>
    </w:p>
    <w:tbl>
      <w:tblPr>
        <w:tblW w:w="9148" w:type="dxa"/>
        <w:jc w:val="left"/>
        <w:tblInd w:w="0" w:type="dxa"/>
        <w:tblLayout w:type="fixed"/>
        <w:tblCellMar>
          <w:top w:w="28" w:type="dxa"/>
          <w:left w:w="28" w:type="dxa"/>
          <w:bottom w:w="28" w:type="dxa"/>
          <w:right w:w="28" w:type="dxa"/>
        </w:tblCellMar>
      </w:tblPr>
      <w:tblGrid>
        <w:gridCol w:w="124"/>
        <w:gridCol w:w="109"/>
        <w:gridCol w:w="109"/>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will indemnify our directors, officers, employees and other agents to the fullest extent permitted by law;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must advance expenses to our directors and officers, and may advance expenses to our employees and other agents, in connection with a legal proceeding to the fullest extent permitted by law; and</w:t>
            </w:r>
          </w:p>
        </w:tc>
      </w:tr>
    </w:tbl>
    <w:tbl>
      <w:tblPr>
        <w:tblW w:w="6448" w:type="dxa"/>
        <w:jc w:val="left"/>
        <w:tblInd w:w="0" w:type="dxa"/>
        <w:tblLayout w:type="fixed"/>
        <w:tblCellMar>
          <w:top w:w="28" w:type="dxa"/>
          <w:left w:w="28" w:type="dxa"/>
          <w:bottom w:w="28" w:type="dxa"/>
          <w:right w:w="28" w:type="dxa"/>
        </w:tblCellMar>
      </w:tblPr>
      <w:tblGrid>
        <w:gridCol w:w="124"/>
        <w:gridCol w:w="109"/>
        <w:gridCol w:w="109"/>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rights provided in our amended and restated bylaws are not exclusive.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entered into indemnification agreements with each of our directors and executive officers. These agreements provide that we will indemnify each of our directors and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5"/>
        <w:gridCol w:w="481"/>
        <w:gridCol w:w="229"/>
        <w:gridCol w:w="146"/>
        <w:gridCol w:w="9184"/>
      </w:tblGrid>
      <w:tr>
        <w:trPr/>
        <w:tc>
          <w:tcPr>
            <w:tcW w:w="16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Third Amended and Restated Certificate of Incorporation of the Company (Incorporated by reference to Exhibit 3.1 to the Company's Quarterly Report on Form 10-Q filed on June 16, 2022 (File No. 001-41374)).</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Correction to Third Amended and Restated Certificate of Incorporation of the Company (Incorporated by reference to Exhibit 3.2 to the Company's Quarterly Report on Form 10-Q filed on November 10, 2022 (File No. 001-41374)).</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to the Third Amended and Restated Certificate of Incorporation of PepGen Inc. (Incorporated by reference to Exhibit 3.1 to the Company’s Current Report on Form 8-K filed on June 20, 2024 (File No. 001-41374)).</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Second Amended and Restated By-laws of the Company (Incorporated by reference to Exhibit 3.1 to the Company's Current Report on Form 8-K filed on March 15, 2024 (File No. 001-41374)).</w:t>
              </w:r>
            </w:hyperlink>
            <w:r>
              <w:rPr>
                <w:rFonts w:ascii="Times New Roman" w:hAnsi="Times New Roman"/>
                <w:color w:val="000000"/>
                <w:sz w:val="20"/>
              </w:rPr>
              <w:t xml:space="preserve"> </w:t>
            </w:r>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Amended and Restated Investors’ Rights Agreement among the Company and certain of its stockholders, dated July 30, 2021 (Incorporated by reference to Exhibit 4.1 to the Registrant’s Company's Statement on Form S-1, as amended (File No. 333-264335)).</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pepg-ex5_1.htm">
              <w:r>
                <w:rPr>
                  <w:rStyle w:val="InternetLink"/>
                  <w:rFonts w:ascii="Times New Roman" w:hAnsi="Times New Roman"/>
                  <w:color w:val="0000FF"/>
                  <w:sz w:val="20"/>
                  <w:u w:val="single"/>
                </w:rPr>
                <w:t>Opinion of Goodwin Procter LLP.</w:t>
              </w:r>
            </w:hyperlink>
            <w:hyperlink w:anchor="pepg-ex5_1.htm">
              <w:r>
                <w:rPr>
                  <w:rStyle w:val="InternetLink"/>
                  <w:rFonts w:ascii="Times New Roman" w:hAnsi="Times New Roman"/>
                  <w:color w:val="0000FF"/>
                  <w:sz w:val="20"/>
                </w:rPr>
                <w:t xml:space="preserve"> </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pepg-ex23_1.htm">
              <w:r>
                <w:rPr>
                  <w:rStyle w:val="InternetLink"/>
                  <w:rFonts w:ascii="Times New Roman" w:hAnsi="Times New Roman"/>
                  <w:color w:val="0000FF"/>
                  <w:sz w:val="20"/>
                  <w:u w:val="single"/>
                </w:rPr>
                <w:t>Consent of KPMG LLP, Independent Registered Public Accounting Firm.</w:t>
              </w:r>
            </w:hyperlink>
            <w:hyperlink w:anchor="pepg-ex23_1.htm">
              <w:r>
                <w:rPr>
                  <w:rStyle w:val="InternetLink"/>
                  <w:rFonts w:ascii="Times New Roman" w:hAnsi="Times New Roman"/>
                  <w:color w:val="0000FF"/>
                  <w:sz w:val="20"/>
                </w:rPr>
                <w:t xml:space="preserve"> </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pepg-ex5_1.htm">
              <w:r>
                <w:rPr>
                  <w:rStyle w:val="InternetLink"/>
                  <w:rFonts w:ascii="Times New Roman" w:hAnsi="Times New Roman"/>
                  <w:color w:val="0000FF"/>
                  <w:sz w:val="20"/>
                  <w:u w:val="single"/>
                </w:rPr>
                <w:t>Consent of Goodwin Procter LLP (included in Exhibit 5.1).</w:t>
              </w:r>
            </w:hyperlink>
            <w:r>
              <w:rPr>
                <w:rFonts w:ascii="Times New Roman" w:hAnsi="Times New Roman"/>
                <w:color w:val="000000"/>
                <w:sz w:val="20"/>
              </w:rPr>
              <w:t xml:space="preserve"> </w:t>
            </w:r>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w:t>
              </w:r>
            </w:hyperlink>
            <w:r>
              <w:rPr>
                <w:rFonts w:ascii="Times New Roman" w:hAnsi="Times New Roman"/>
                <w:color w:val="000000"/>
                <w:sz w:val="20"/>
              </w:rPr>
              <w:t xml:space="preserve"> </w:t>
            </w:r>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2022 Stock Option and Incentive Plan and form of award agreements thereunder (Incorporated by reference to Exhibit 10.2 to the Company's Registration Statement on Form S-1, as amended (File No. 333-264335)).</w:t>
              </w:r>
            </w:hyperlink>
            <w:hyperlink r:id="rId17">
              <w:r>
                <w:rPr>
                  <w:rStyle w:val="InternetLink"/>
                  <w:rFonts w:ascii="Times New Roman" w:hAnsi="Times New Roman"/>
                  <w:color w:val="0000FF"/>
                  <w:sz w:val="20"/>
                </w:rPr>
                <w:t xml:space="preserve"> </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2022 Employee Stock Purchase Plan (Incorporated by reference to Exhibit 10.3 to the Company's Registration Statement on Form S-1, as amended (File No. 333-264335)).</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PepGen Inc. 2024 Inducement Plan and forms of agreements thereunder (Incorporated by reference to Exhibit 10.1 to the Company’s Quarterly Report on Form 10-Q filed on November 7, 2024 (File No. 001-41374))</w:t>
              </w:r>
            </w:hyperlink>
            <w:hyperlink r:id="rId20">
              <w:r>
                <w:rPr>
                  <w:rStyle w:val="InternetLink"/>
                  <w:rFonts w:ascii="Times New Roman" w:hAnsi="Times New Roman"/>
                  <w:color w:val="0000FF"/>
                  <w:sz w:val="24"/>
                  <w:u w:val="single"/>
                </w:rPr>
                <w:t>.</w:t>
              </w:r>
            </w:hyperlink>
          </w:p>
        </w:tc>
      </w:tr>
      <w:tr>
        <w:trPr/>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pepg-exfiling_fees.htm">
              <w:r>
                <w:rPr>
                  <w:rStyle w:val="InternetLink"/>
                  <w:rFonts w:ascii="Times New Roman" w:hAnsi="Times New Roman"/>
                  <w:color w:val="0000FF"/>
                  <w:sz w:val="20"/>
                  <w:u w:val="single"/>
                </w:rPr>
                <w:t>Filing Fee Table</w:t>
              </w:r>
            </w:hyperlink>
          </w:p>
        </w:tc>
      </w:tr>
    </w:tbl>
    <w:tbl>
      <w:tblPr>
        <w:tblW w:w="1929" w:type="dxa"/>
        <w:jc w:val="left"/>
        <w:tblInd w:w="0" w:type="dxa"/>
        <w:tblLayout w:type="fixed"/>
        <w:tblCellMar>
          <w:top w:w="28" w:type="dxa"/>
          <w:left w:w="28" w:type="dxa"/>
          <w:bottom w:w="28" w:type="dxa"/>
          <w:right w:w="28" w:type="dxa"/>
        </w:tblCellMar>
      </w:tblPr>
      <w:tblGrid>
        <w:gridCol w:w="226"/>
        <w:gridCol w:w="1366"/>
        <w:gridCol w:w="146"/>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bookmarkStart w:id="2" w:name="tx949164_2"/>
      <w:bookmarkEnd w:id="2"/>
      <w:r>
        <w:rPr>
          <w:rFonts w:ascii="Times New Roman" w:hAnsi="Times New Roman"/>
          <w:b/>
          <w:color w:val="000000"/>
          <w:sz w:val="20"/>
        </w:rPr>
        <w:t>Item 9.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State of Massachusetts, on this 24</w:t>
      </w:r>
      <w:r>
        <w:rPr>
          <w:rFonts w:ascii="Times New Roman" w:hAnsi="Times New Roman"/>
          <w:color w:val="000000"/>
          <w:sz w:val="13"/>
        </w:rPr>
        <w:t>th</w:t>
      </w:r>
      <w:r>
        <w:rPr>
          <w:rFonts w:ascii="Times New Roman" w:hAnsi="Times New Roman"/>
          <w:color w:val="000000"/>
          <w:sz w:val="20"/>
        </w:rPr>
        <w:t xml:space="preserve"> day of February, 2025. </w:t>
      </w:r>
    </w:p>
    <w:tbl>
      <w:tblPr>
        <w:tblW w:w="3741" w:type="dxa"/>
        <w:jc w:val="left"/>
        <w:tblInd w:w="0" w:type="dxa"/>
        <w:tblLayout w:type="fixed"/>
        <w:tblCellMar>
          <w:top w:w="28" w:type="dxa"/>
          <w:left w:w="28" w:type="dxa"/>
          <w:bottom w:w="28" w:type="dxa"/>
          <w:right w:w="28" w:type="dxa"/>
        </w:tblCellMar>
      </w:tblPr>
      <w:tblGrid>
        <w:gridCol w:w="421"/>
        <w:gridCol w:w="109"/>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PEPGEN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James McArthur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James McArthur, Ph.D.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3" w:name="power_of_attorney"/>
      <w:bookmarkEnd w:id="3"/>
      <w:r>
        <w:rPr>
          <w:rFonts w:ascii="Times New Roman" w:hAnsi="Times New Roman"/>
          <w:b/>
          <w:color w:val="000000"/>
          <w:sz w:val="20"/>
        </w:rPr>
        <w:t>POWER OF ATTORNEY AND 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James McArthur, his true and lawful attorney-in-fact and agent, with full power of substitution and resubstitution for him and in his name, place and stead, in any and all capacities, to sign any and all amendments (including post-effective amendments) to this Registration Statement on Form S-8, and to file the same, with all exhibits thereto, and all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indicated as of February 24,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29" w:type="dxa"/>
        <w:jc w:val="left"/>
        <w:tblInd w:w="0" w:type="dxa"/>
        <w:tblLayout w:type="fixed"/>
        <w:tblCellMar>
          <w:top w:w="28" w:type="dxa"/>
          <w:left w:w="28" w:type="dxa"/>
          <w:bottom w:w="28" w:type="dxa"/>
          <w:right w:w="28" w:type="dxa"/>
        </w:tblCellMar>
      </w:tblPr>
      <w:tblGrid>
        <w:gridCol w:w="2551"/>
        <w:gridCol w:w="109"/>
        <w:gridCol w:w="7006"/>
        <w:gridCol w:w="109"/>
        <w:gridCol w:w="154"/>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James McArthur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James McArthur, Ph.D.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and Director (Principal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Noel Donnelly</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Noel Donnelly, M.B.A.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Principal Accounting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Habib Joseph Dable</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Habib Joseph Dable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Heidi Henson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Heidi Henson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Laurie Keating</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Laurie B. Keating, J.D.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spacing w:before="0" w:after="283"/>
              <w:jc w:val="left"/>
              <w:rPr>
                <w:rFonts w:ascii="Times New Roman" w:hAnsi="Times New Roman"/>
                <w:color w:val="000000"/>
                <w:sz w:val="20"/>
              </w:rPr>
            </w:pPr>
            <w:r>
              <w:rPr>
                <w:rFonts w:ascii="Times New Roman" w:hAnsi="Times New Roman"/>
                <w:color w:val="000000"/>
                <w:sz w:val="20"/>
              </w:rPr>
              <w:t>/s/ Howard Mayer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Howard Mayer, M.D.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vMerge w:val="continue"/>
            <w:tcBorders/>
            <w:tcMar>
              <w:top w:w="0" w:type="dxa"/>
              <w:left w:w="0" w:type="dxa"/>
              <w:bottom w:w="0" w:type="dxa"/>
              <w:right w:w="0" w:type="dxa"/>
            </w:tcMar>
            <w:vAlign w:val="center"/>
          </w:tcPr>
          <w:p>
            <w:pPr>
              <w:pStyle w:val="Normal"/>
              <w:bidi w:val="0"/>
              <w:jc w:val="left"/>
              <w:rPr/>
            </w:pPr>
            <w:r>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pBdr>
                <w:bottom w:val="single" w:sz="6" w:space="6" w:color="000000"/>
              </w:pBdr>
              <w:bidi w:val="0"/>
              <w:jc w:val="left"/>
              <w:rPr>
                <w:rFonts w:ascii="Times New Roman" w:hAnsi="Times New Roman"/>
                <w:color w:val="000000"/>
                <w:sz w:val="20"/>
              </w:rPr>
            </w:pPr>
            <w:r>
              <w:rPr>
                <w:rFonts w:ascii="Times New Roman" w:hAnsi="Times New Roman"/>
                <w:color w:val="000000"/>
                <w:sz w:val="20"/>
              </w:rPr>
              <w:t>/s/ Joshua Resnick</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Joshua Resnick, M.D., M.B.A.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4" w:name="pepg-ex5_1.htm"/>
      <w:bookmarkStart w:id="5" w:name="kspepgex5_1"/>
      <w:bookmarkEnd w:id="4"/>
      <w:bookmarkEnd w:id="5"/>
      <w:r>
        <w:rPr/>
        <w:t> </w:t>
      </w:r>
      <w:r>
        <w:br w:type="page"/>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February 24,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PepGen Inc.</w:t>
      </w:r>
    </w:p>
    <w:p>
      <w:pPr>
        <w:pStyle w:val="TextBody"/>
        <w:bidi w:val="0"/>
        <w:jc w:val="left"/>
        <w:rPr>
          <w:rFonts w:ascii="Times New Roman" w:hAnsi="Times New Roman"/>
          <w:color w:val="000000"/>
          <w:sz w:val="24"/>
        </w:rPr>
      </w:pPr>
      <w:r>
        <w:rPr>
          <w:rFonts w:ascii="Times New Roman" w:hAnsi="Times New Roman"/>
          <w:color w:val="000000"/>
          <w:sz w:val="24"/>
        </w:rPr>
        <w:t>321 Harrison Avenue, 8th Floor</w:t>
      </w:r>
    </w:p>
    <w:p>
      <w:pPr>
        <w:pStyle w:val="TextBody"/>
        <w:bidi w:val="0"/>
        <w:jc w:val="left"/>
        <w:rPr>
          <w:rFonts w:ascii="Times New Roman" w:hAnsi="Times New Roman"/>
          <w:color w:val="000000"/>
          <w:sz w:val="24"/>
        </w:rPr>
      </w:pPr>
      <w:r>
        <w:rPr>
          <w:rFonts w:ascii="Times New Roman" w:hAnsi="Times New Roman"/>
          <w:color w:val="000000"/>
          <w:sz w:val="24"/>
        </w:rPr>
        <w:t>Boston, MA 02118</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Securities Being Registered under Registration Statement on Form S-8</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have acted as your counsel in connection with your filing of a Registration Statement on Form S-8 (the “Registration Statement”) pursuant to the Securities Act of 1933, as amended (the “Securities Act”), on or about the date hereof relating to an aggregate of 2,957,179 shares (the “Shares”) of Common Stock, par value $0.0001 per share (“Common Stock”), of PepGen Inc., a Delaware corporation (the “Company”), that may be issued pursuant to the Company’s 2022 Stock Option and Incentive Plan, 2022 Employee Stock Purchase Plan and 2024 Inducement Plan (collectively, the “Plans”).</w:t>
      </w:r>
    </w:p>
    <w:p>
      <w:pPr>
        <w:pStyle w:val="TextBody"/>
        <w:bidi w:val="0"/>
        <w:jc w:val="left"/>
        <w:rPr>
          <w:rFonts w:ascii="Times New Roman" w:hAnsi="Times New Roman"/>
          <w:color w:val="000000"/>
          <w:sz w:val="24"/>
        </w:rPr>
      </w:pPr>
      <w:r>
        <w:rPr>
          <w:rFonts w:ascii="Times New Roman" w:hAnsi="Times New Roman"/>
          <w:color w:val="000000"/>
          <w:sz w:val="24"/>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jc w:val="left"/>
        <w:rPr>
          <w:rFonts w:ascii="Times New Roman" w:hAnsi="Times New Roman"/>
          <w:color w:val="000000"/>
          <w:sz w:val="24"/>
        </w:rPr>
      </w:pPr>
      <w:r>
        <w:rPr>
          <w:rFonts w:ascii="Times New Roman" w:hAnsi="Times New Roman"/>
          <w:color w:val="000000"/>
          <w:sz w:val="24"/>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jc w:val="left"/>
        <w:rPr>
          <w:rFonts w:ascii="Times New Roman" w:hAnsi="Times New Roman"/>
          <w:color w:val="000000"/>
          <w:sz w:val="24"/>
        </w:rPr>
      </w:pPr>
      <w:r>
        <w:rPr>
          <w:rFonts w:ascii="Times New Roman" w:hAnsi="Times New Roman"/>
          <w:color w:val="000000"/>
          <w:sz w:val="24"/>
        </w:rPr>
        <w:t>The opinion set forth below is limited to the Delaware General Corporation Law.</w:t>
      </w:r>
    </w:p>
    <w:p>
      <w:pPr>
        <w:pStyle w:val="TextBody"/>
        <w:bidi w:val="0"/>
        <w:jc w:val="left"/>
        <w:rPr>
          <w:rFonts w:ascii="Times New Roman" w:hAnsi="Times New Roman"/>
          <w:sz w:val="20"/>
        </w:rPr>
      </w:pPr>
      <w:r>
        <w:rPr>
          <w:rFonts w:ascii="Times New Roman" w:hAnsi="Times New Roman"/>
          <w:color w:val="000000"/>
          <w:sz w:val="24"/>
        </w:rPr>
        <w:t>Based on the foregoing, we are of the opinion that the Shares have been duly authorized and, when delivered against payment therefor in accordance with the terms of the Plans, will be validly issued, fully paid and nonassessable.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This opinion letter and the opinion it contains shall be interpreted in accordance with the Core Opinion Principles as published in 74 </w:t>
      </w:r>
      <w:r>
        <w:rPr>
          <w:rFonts w:ascii="Times New Roman" w:hAnsi="Times New Roman"/>
          <w:i/>
          <w:color w:val="000000"/>
          <w:sz w:val="24"/>
        </w:rPr>
        <w:t>Business Lawyer</w:t>
      </w:r>
      <w:r>
        <w:rPr>
          <w:rFonts w:ascii="Times New Roman" w:hAnsi="Times New Roman"/>
          <w:color w:val="000000"/>
          <w:sz w:val="20"/>
        </w:rPr>
        <w:t xml:space="preserve"> </w:t>
      </w:r>
      <w:r>
        <w:rPr>
          <w:rFonts w:ascii="Times New Roman" w:hAnsi="Times New Roman"/>
          <w:color w:val="000000"/>
          <w:sz w:val="24"/>
        </w:rPr>
        <w:t>815 (Summer 2019).</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/s/ GOODWIN PROCTER LLP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GOODWIN PROCTER </w:t>
      </w:r>
      <w:r>
        <w:rPr>
          <w:rFonts w:ascii="Times New Roman" w:hAnsi="Times New Roman"/>
          <w:color w:val="000000"/>
          <w:sz w:val="18"/>
        </w:rPr>
        <w:t>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6" w:name="pepg-ex23_1.htm"/>
      <w:bookmarkStart w:id="7" w:name="kspepgex23_1"/>
      <w:bookmarkEnd w:id="6"/>
      <w:bookmarkEnd w:id="7"/>
      <w:r>
        <w:rPr>
          <w:rFonts w:ascii="Times New Roman" w:hAnsi="Times New Roman"/>
          <w:b/>
          <w:color w:val="000000"/>
          <w:sz w:val="24"/>
        </w:rPr>
        <w:t>EXHIBIT 23.1</w:t>
      </w:r>
      <w:r>
        <w:br w:type="page"/>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We consent to the use of our report dated February 24, 2025, with respect to the consolidated financial statements of PepGen Inc., incorporated herein by reference.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Phoenix, Arizona</w:t>
        <w:br/>
        <w:t>February 24, 2025</w:t>
      </w:r>
    </w:p>
    <w:p>
      <w:pPr>
        <w:pStyle w:val="HorizontalLine"/>
        <w:pBdr>
          <w:bottom w:val="double" w:sz="2" w:space="0" w:color="808080"/>
        </w:pBdr>
        <w:bidi w:val="0"/>
        <w:spacing w:before="0" w:after="283"/>
        <w:jc w:val="left"/>
        <w:rPr/>
      </w:pPr>
      <w:r>
        <w:rPr/>
      </w:r>
    </w:p>
    <w:p>
      <w:pPr>
        <w:pStyle w:val="TextBody"/>
        <w:bidi w:val="0"/>
        <w:jc w:val="left"/>
        <w:rPr/>
      </w:pPr>
      <w:bookmarkStart w:id="8" w:name="pepg-exfiling_fees.htm"/>
      <w:bookmarkStart w:id="9" w:name="kspepgexfiling_fees"/>
      <w:bookmarkEnd w:id="8"/>
      <w:bookmarkEnd w:id="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Calculation of Registration Fee</w:t>
      </w:r>
    </w:p>
    <w:p>
      <w:pPr>
        <w:pStyle w:val="TextBody"/>
        <w:bidi w:val="0"/>
        <w:jc w:val="center"/>
        <w:rPr>
          <w:rFonts w:ascii="Times New Roman" w:hAnsi="Times New Roman"/>
          <w:sz w:val="20"/>
        </w:rPr>
      </w:pPr>
      <w:r>
        <w:rPr>
          <w:rFonts w:ascii="Times New Roman" w:hAnsi="Times New Roman"/>
          <w:color w:val="000000"/>
          <w:sz w:val="20"/>
          <w:u w:val="single"/>
        </w:rPr>
        <w:t>Form S-8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PepGen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rFonts w:ascii="Times New Roman" w:hAnsi="Times New Roman"/>
          <w:color w:val="000000"/>
          <w:sz w:val="20"/>
        </w:rPr>
      </w:pPr>
      <w:r>
        <w:rPr>
          <w:rFonts w:ascii="Times New Roman" w:hAnsi="Times New Roman"/>
          <w:color w:val="000000"/>
          <w:sz w:val="20"/>
        </w:rPr>
        <w:t>Newly Registered Securities</w:t>
      </w:r>
    </w:p>
    <w:tbl>
      <w:tblPr>
        <w:tblW w:w="10205" w:type="dxa"/>
        <w:jc w:val="left"/>
        <w:tblInd w:w="0" w:type="dxa"/>
        <w:tblLayout w:type="fixed"/>
        <w:tblCellMar>
          <w:top w:w="28" w:type="dxa"/>
          <w:left w:w="28" w:type="dxa"/>
          <w:bottom w:w="28" w:type="dxa"/>
          <w:right w:w="28" w:type="dxa"/>
        </w:tblCellMar>
      </w:tblPr>
      <w:tblGrid>
        <w:gridCol w:w="863"/>
        <w:gridCol w:w="1837"/>
        <w:gridCol w:w="1200"/>
        <w:gridCol w:w="1135"/>
        <w:gridCol w:w="1225"/>
        <w:gridCol w:w="1439"/>
        <w:gridCol w:w="1201"/>
        <w:gridCol w:w="1305"/>
      </w:tblGrid>
      <w:tr>
        <w:trPr/>
        <w:tc>
          <w:tcPr>
            <w:tcW w:w="86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86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Type</w:t>
            </w:r>
          </w:p>
        </w:tc>
        <w:tc>
          <w:tcPr>
            <w:tcW w:w="183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Class Title</w:t>
            </w:r>
          </w:p>
        </w:tc>
        <w:tc>
          <w:tcPr>
            <w:tcW w:w="120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Calculation Rule</w:t>
            </w:r>
          </w:p>
        </w:tc>
        <w:tc>
          <w:tcPr>
            <w:tcW w:w="113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Registered(1)</w:t>
            </w:r>
          </w:p>
        </w:tc>
        <w:tc>
          <w:tcPr>
            <w:tcW w:w="122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Proposed Maximum Offering Price Per Share</w:t>
            </w:r>
          </w:p>
        </w:tc>
        <w:tc>
          <w:tcPr>
            <w:tcW w:w="143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Aggregate Offering Price</w:t>
            </w:r>
          </w:p>
        </w:tc>
        <w:tc>
          <w:tcPr>
            <w:tcW w:w="12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Rate</w:t>
            </w:r>
          </w:p>
        </w:tc>
        <w:tc>
          <w:tcPr>
            <w:tcW w:w="130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Registration Fee</w:t>
            </w:r>
          </w:p>
        </w:tc>
      </w:tr>
      <w:tr>
        <w:trPr/>
        <w:tc>
          <w:tcPr>
            <w:tcW w:w="86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8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 reserved for issuance pursuant to the PepGen Inc. 2022 Stock Option and Incentive Plan</w:t>
            </w:r>
          </w:p>
        </w:tc>
        <w:tc>
          <w:tcPr>
            <w:tcW w:w="1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457(c) and Rule 457(h)</w:t>
            </w:r>
          </w:p>
        </w:tc>
        <w:tc>
          <w:tcPr>
            <w:tcW w:w="11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1,630,983 (2)</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 (5)</w:t>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$2,071,348.41</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$0.00015310</w:t>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$317.13</w:t>
            </w:r>
          </w:p>
        </w:tc>
      </w:tr>
      <w:tr>
        <w:trPr/>
        <w:tc>
          <w:tcPr>
            <w:tcW w:w="86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8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 reserved for issuance pursuant to the PepGen Inc. 2022 Employee Stock Purchase Plan</w:t>
            </w:r>
          </w:p>
        </w:tc>
        <w:tc>
          <w:tcPr>
            <w:tcW w:w="1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457(c) and Rule 457(h)</w:t>
            </w:r>
          </w:p>
        </w:tc>
        <w:tc>
          <w:tcPr>
            <w:tcW w:w="11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326,196 (3)</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 (6)</w:t>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$352,128.58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$0.00015310</w:t>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$53.92</w:t>
            </w:r>
          </w:p>
        </w:tc>
      </w:tr>
      <w:tr>
        <w:trPr/>
        <w:tc>
          <w:tcPr>
            <w:tcW w:w="86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8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 reserved for issuance pursuant to the PepGen Inc. 2024 Inducement Plan</w:t>
            </w:r>
          </w:p>
        </w:tc>
        <w:tc>
          <w:tcPr>
            <w:tcW w:w="12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457(c) and Rule 457(h)</w:t>
            </w:r>
          </w:p>
        </w:tc>
        <w:tc>
          <w:tcPr>
            <w:tcW w:w="11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1,000,000 (4)</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 (5)</w:t>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$1,270,000</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$0.00015310</w:t>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$194.44</w:t>
            </w:r>
          </w:p>
        </w:tc>
      </w:tr>
      <w:tr>
        <w:trPr/>
        <w:tc>
          <w:tcPr>
            <w:tcW w:w="5035"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Offering Amounts</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$3,693,476.99</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$565.49</w:t>
            </w:r>
          </w:p>
        </w:tc>
      </w:tr>
      <w:tr>
        <w:trPr/>
        <w:tc>
          <w:tcPr>
            <w:tcW w:w="5035"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Fees Previously Paid</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r>
      <w:tr>
        <w:trPr/>
        <w:tc>
          <w:tcPr>
            <w:tcW w:w="5035"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Fee Offsets</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r>
      <w:tr>
        <w:trPr/>
        <w:tc>
          <w:tcPr>
            <w:tcW w:w="5035"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Fee Due</w:t>
            </w:r>
          </w:p>
        </w:tc>
        <w:tc>
          <w:tcPr>
            <w:tcW w:w="1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4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3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$565.49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
        <w:gridCol w:w="146"/>
        <w:gridCol w:w="9766"/>
      </w:tblGrid>
      <w:tr>
        <w:trPr/>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6"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97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Pursuant to Rule 416 under the Securities Act of 1933, as amended (the “Securities Act”), this Registration Statement shall also cover any additional shares of common stock, $0.0001 par value per share (the “Common Stock”), which become issuable under the 2022 Stock Option and Incentive Plan (the “2022 Plan”), 2022 Employee Stock Purchase Plan (the “2022 ESPP”) and the 2024 Inducement Plan (the “Inducement Plan”)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 described herein.</w:t>
            </w:r>
          </w:p>
        </w:tc>
      </w:tr>
      <w:tr>
        <w:trPr/>
        <w:tc>
          <w:tcPr>
            <w:tcW w:w="29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9766"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Represents an automatic increase of 1,630,983 shares of Common Stock reserved for issuance under the 2022 Plan, effective January 1, 2025. Shares available for issuance under the 2022 Plan were previously registered on Form S-8 filed with the Securities and Exchange Commission on May 10, 2022 (</w:t>
            </w:r>
            <w:hyperlink r:id="rId21">
              <w:r>
                <w:rPr>
                  <w:rStyle w:val="InternetLink"/>
                  <w:rFonts w:ascii="Times New Roman" w:hAnsi="Times New Roman"/>
                  <w:color w:val="0000FF"/>
                  <w:sz w:val="20"/>
                  <w:u w:val="single"/>
                </w:rPr>
                <w:t>File No. 333-264822</w:t>
              </w:r>
            </w:hyperlink>
            <w:r>
              <w:rPr>
                <w:rFonts w:ascii="Times New Roman" w:hAnsi="Times New Roman"/>
                <w:color w:val="000000"/>
                <w:sz w:val="20"/>
              </w:rPr>
              <w:t>), March 23, 2023 (</w:t>
            </w:r>
            <w:hyperlink r:id="rId22">
              <w:r>
                <w:rPr>
                  <w:rStyle w:val="InternetLink"/>
                  <w:rFonts w:ascii="Times New Roman" w:hAnsi="Times New Roman"/>
                  <w:color w:val="0000FF"/>
                  <w:sz w:val="20"/>
                  <w:u w:val="single"/>
                </w:rPr>
                <w:t>File No. 333-270790</w:t>
              </w:r>
            </w:hyperlink>
            <w:r>
              <w:rPr>
                <w:rFonts w:ascii="Times New Roman" w:hAnsi="Times New Roman"/>
                <w:color w:val="000000"/>
                <w:sz w:val="20"/>
              </w:rPr>
              <w:t>) and March 6, 2024 (</w:t>
            </w:r>
            <w:hyperlink r:id="rId23">
              <w:r>
                <w:rPr>
                  <w:rStyle w:val="InternetLink"/>
                  <w:rFonts w:ascii="Times New Roman" w:hAnsi="Times New Roman"/>
                  <w:color w:val="0000FF"/>
                  <w:sz w:val="20"/>
                  <w:u w:val="single"/>
                </w:rPr>
                <w:t>File No. 333-277708</w:t>
              </w:r>
            </w:hyperlink>
            <w:r>
              <w:rPr>
                <w:rFonts w:ascii="Times New Roman" w:hAnsi="Times New Roman"/>
                <w:color w:val="000000"/>
                <w:sz w:val="20"/>
              </w:rPr>
              <w:t>).</w:t>
            </w:r>
          </w:p>
        </w:tc>
      </w:tr>
      <w:tr>
        <w:trPr/>
        <w:tc>
          <w:tcPr>
            <w:tcW w:w="29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9766" w:type="dxa"/>
            <w:tcBorders/>
            <w:tcMar>
              <w:top w:w="0" w:type="dxa"/>
              <w:left w:w="0" w:type="dxa"/>
              <w:bottom w:w="0" w:type="dxa"/>
              <w:right w:w="0" w:type="dxa"/>
            </w:tcMar>
            <w:vAlign w:val="center"/>
          </w:tcPr>
          <w:p>
            <w:pPr>
              <w:pStyle w:val="TableContents"/>
              <w:bidi w:val="0"/>
              <w:spacing w:before="0" w:after="240"/>
              <w:jc w:val="left"/>
              <w:rPr/>
            </w:pPr>
            <w:r>
              <w:rPr>
                <w:rFonts w:ascii="Times New Roman" w:hAnsi="Times New Roman"/>
                <w:color w:val="000000"/>
                <w:sz w:val="20"/>
              </w:rPr>
              <w:t>Represents an automatic increase of 326,196 shares of Common Stock reserved for issuance under the 2022 ESPP, effective January 1, 2025. Shares available for issuance under the 2022 ESPP were previously registered on Form S-8 filed with the Securities and Exchange Commission on May 10, 2022 (</w:t>
            </w:r>
            <w:hyperlink r:id="rId24">
              <w:r>
                <w:rPr>
                  <w:rStyle w:val="InternetLink"/>
                  <w:rFonts w:ascii="Times New Roman" w:hAnsi="Times New Roman"/>
                  <w:color w:val="0000FF"/>
                  <w:sz w:val="20"/>
                  <w:u w:val="single"/>
                </w:rPr>
                <w:t>File No. 333-264822</w:t>
              </w:r>
            </w:hyperlink>
            <w:r>
              <w:rPr>
                <w:rFonts w:ascii="Times New Roman" w:hAnsi="Times New Roman"/>
                <w:color w:val="000000"/>
                <w:sz w:val="20"/>
              </w:rPr>
              <w:t>) and March 6, 2024 (</w:t>
            </w:r>
            <w:hyperlink r:id="rId25">
              <w:r>
                <w:rPr>
                  <w:rStyle w:val="InternetLink"/>
                  <w:rFonts w:ascii="Times New Roman" w:hAnsi="Times New Roman"/>
                  <w:color w:val="0000FF"/>
                  <w:sz w:val="20"/>
                  <w:u w:val="single"/>
                </w:rPr>
                <w:t>File No. 333-277708</w:t>
              </w:r>
            </w:hyperlink>
            <w:r>
              <w:rPr>
                <w:rFonts w:ascii="Times New Roman" w:hAnsi="Times New Roman"/>
                <w:color w:val="000000"/>
                <w:sz w:val="20"/>
              </w:rPr>
              <w:t>).</w:t>
            </w:r>
          </w:p>
        </w:tc>
      </w:tr>
      <w:tr>
        <w:trPr/>
        <w:tc>
          <w:tcPr>
            <w:tcW w:w="29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97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Represents 1,000,000 shares of Common Stock reserved for issuance under the Inducement Plan.</w:t>
            </w:r>
          </w:p>
        </w:tc>
      </w:tr>
      <w:tr>
        <w:trPr/>
        <w:tc>
          <w:tcPr>
            <w:tcW w:w="29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97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Estimated solely for the purpose of calculating the registration fee pursuant to Rules 457(c) and 457(h) of the Securities Act. The price per share and aggregate offering price are calculated based upon the average of the high and low prices of the Registrant’s Common Stock as reported on The Nasdaq Stock Market LLC on February 14, 2025, in accordance with Rule 457(c) of the Securities Act.</w:t>
            </w:r>
          </w:p>
        </w:tc>
      </w:tr>
      <w:tr>
        <w:trPr/>
        <w:tc>
          <w:tcPr>
            <w:tcW w:w="29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(6)</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97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Estimated solely for the purpose of calculating the registration fee pursuant to Rules 457(c) and 457(h) of the Securities Act. The price per share and aggregate offering price are calculated based upon the average of the high and low prices of the Registrant’s Common Stock as reported on The Nasdaq Stock Market LLC on February 14, 2025, in accordance with Rule 457(c) of the Securities Act. Under the 2022 ESPP, the purchase price of a share of Common Stock is equal to 85% of the fair market value of the Common Stock on the offering date or the exercise date, whichever is less.</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5597/000119312522146267/d321093ds8.htm" TargetMode="External"/><Relationship Id="rId3" Type="http://schemas.openxmlformats.org/officeDocument/2006/relationships/hyperlink" Target="https://www.sec.gov/Archives/edgar/data/1835597/000095017023009522/pepg_s-8_2023.htm" TargetMode="External"/><Relationship Id="rId4" Type="http://schemas.openxmlformats.org/officeDocument/2006/relationships/hyperlink" Target="https://www.sec.gov/Archives/edgar/data/1835597/000095017024027262/pepg_s-8_2024.htm" TargetMode="External"/><Relationship Id="rId5" Type="http://schemas.openxmlformats.org/officeDocument/2006/relationships/hyperlink" Target="https://www.sec.gov/Archives/edgar/data/1835597/000119312522146267/d321093ds8.htm" TargetMode="External"/><Relationship Id="rId6" Type="http://schemas.openxmlformats.org/officeDocument/2006/relationships/hyperlink" Target="https://www.sec.gov/Archives/edgar/data/1835597/000095017023009522/pepg_s-8_2023.htm" TargetMode="External"/><Relationship Id="rId7" Type="http://schemas.openxmlformats.org/officeDocument/2006/relationships/hyperlink" Target="https://www.sec.gov/Archives/edgar/data/1835597/000095017024027262/pepg_s-8_2024.htm" TargetMode="External"/><Relationship Id="rId8" Type="http://schemas.openxmlformats.org/officeDocument/2006/relationships/hyperlink" Target="https://www.sec.gov/ix?doc=/Archives/edgar/data/0001835597/000095017025025226/pepg-20241231.htm" TargetMode="External"/><Relationship Id="rId9" Type="http://schemas.openxmlformats.org/officeDocument/2006/relationships/hyperlink" Target="https://www.sec.gov/ix?doc=/Archives/edgar/data/0001835597/000095017025010515/pepg-20250129.htm" TargetMode="External"/><Relationship Id="rId10" Type="http://schemas.openxmlformats.org/officeDocument/2006/relationships/hyperlink" Target="https://www.sec.gov/Archives/edgar/data/1835597/000119312522138814/d362030d8a12b.htm" TargetMode="External"/><Relationship Id="rId11" Type="http://schemas.openxmlformats.org/officeDocument/2006/relationships/hyperlink" Target="https://www.sec.gov/ix?doc=/Archives/edgar/data/0001835597/000095017022011719/pepg-20220331.htm" TargetMode="External"/><Relationship Id="rId12" Type="http://schemas.openxmlformats.org/officeDocument/2006/relationships/hyperlink" Target="https://www.sec.gov/ix?doc=/Archives/edgar/data/0001835597/000095017022024186/pepg-20220930.htm" TargetMode="External"/><Relationship Id="rId13" Type="http://schemas.openxmlformats.org/officeDocument/2006/relationships/hyperlink" Target="https://www.sec.gov/ix?doc=/Archives/edgar/data/0001835597/000119312524164587/d660943d8k.htm" TargetMode="External"/><Relationship Id="rId14" Type="http://schemas.openxmlformats.org/officeDocument/2006/relationships/hyperlink" Target="https://www.sec.gov/ix?doc=/Archives/edgar/data/0001835597/000119312524069110/d810119d8k.htm" TargetMode="External"/><Relationship Id="rId15" Type="http://schemas.openxmlformats.org/officeDocument/2006/relationships/hyperlink" Target="https://www.sec.gov/Archives/edgar/data/1835597/000119312522106884/d235586dex41.htm" TargetMode="External"/><Relationship Id="rId16" Type="http://schemas.openxmlformats.org/officeDocument/2006/relationships/hyperlink" Target="https://www.sec.gov/Archives/edgar/data/1835597/000119312522135245/d235586dex102.htm" TargetMode="External"/><Relationship Id="rId17" Type="http://schemas.openxmlformats.org/officeDocument/2006/relationships/hyperlink" Target="https://www.sec.gov/Archives/edgar/data/1835597/000119312522135245/d235586dex102.htm" TargetMode="External"/><Relationship Id="rId18" Type="http://schemas.openxmlformats.org/officeDocument/2006/relationships/hyperlink" Target="https://www.sec.gov/Archives/edgar/data/1835597/000119312522135245/d235586dex103.htm" TargetMode="External"/><Relationship Id="rId19" Type="http://schemas.openxmlformats.org/officeDocument/2006/relationships/hyperlink" Target="https://www.sec.gov/ix?doc=/Archives/edgar/data/1835597/000095017024122821/pepg-20240930.htm" TargetMode="External"/><Relationship Id="rId20" Type="http://schemas.openxmlformats.org/officeDocument/2006/relationships/hyperlink" Target="https://www.sec.gov/ix?doc=/Archives/edgar/data/1835597/000095017024122821/pepg-20240930.htm" TargetMode="External"/><Relationship Id="rId21" Type="http://schemas.openxmlformats.org/officeDocument/2006/relationships/hyperlink" Target="https://www.sec.gov/Archives/edgar/data/1835597/000119312522146267/d321093ds8.htm" TargetMode="External"/><Relationship Id="rId22" Type="http://schemas.openxmlformats.org/officeDocument/2006/relationships/hyperlink" Target="https://www.sec.gov/Archives/edgar/data/1835597/000095017023009522/pepg_s-8_2023.htm" TargetMode="External"/><Relationship Id="rId23" Type="http://schemas.openxmlformats.org/officeDocument/2006/relationships/hyperlink" Target="https://www.sec.gov/Archives/edgar/data/1835597/000095017024027262/pepg_s-8_2024.htm" TargetMode="External"/><Relationship Id="rId24" Type="http://schemas.openxmlformats.org/officeDocument/2006/relationships/hyperlink" Target="https://www.sec.gov/Archives/edgar/data/1835597/000119312522146267/d321093ds8.htm" TargetMode="External"/><Relationship Id="rId25" Type="http://schemas.openxmlformats.org/officeDocument/2006/relationships/hyperlink" Target="https://www.sec.gov/Archives/edgar/data/1835597/000095017024027262/pepg_s-8_2024.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4472</Words>
  <Characters>24073</Characters>
  <CharactersWithSpaces>28390</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