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epg-20260618.htm"/>
      <w:bookmarkStart w:id="1" w:name="kspepg2026061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18,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PepGen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001-41374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85-3819886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321 Harrison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797-0979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PEPG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both"/>
        <w:rPr>
          <w:rFonts w:ascii="Times New Roman" w:hAnsi="Times New Roman"/>
          <w:color w:val="000000"/>
          <w:sz w:val="20"/>
        </w:rPr>
      </w:pPr>
      <w:r>
        <w:rPr>
          <w:rFonts w:ascii="Times New Roman" w:hAnsi="Times New Roman"/>
          <w:color w:val="000000"/>
          <w:sz w:val="20"/>
        </w:rPr>
        <w:t xml:space="preserve">The 2026 Annual Meeting of Stockholders (the “2026 Annual Meeting”) of PepGen Inc. (the “Company”) was held on June 18, 2026. The proposals set forth below were submitted to the stockholders at the 2026 Annual Meeting, with each such proposal described in the Company’s definitive proxy statement filed with the Securities and Exchange Commission on April 28, 2026 in connection with the 2026 Annual Meeting.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of shares of common stock entitled to vote at the 2026 Annual Meeting was 69,169,215. The number of shares of common stock present or represented by valid proxy at the 2026 Annual Meeting was 54,650,845. Therefore, a quorum was present. The number of votes cast for and withheld/against and the number of abstentions and broker non-votes with respect to each proposal voted upon are set forth below. </w:t>
      </w:r>
    </w:p>
    <w:p>
      <w:pPr>
        <w:pStyle w:val="TextBody"/>
        <w:bidi w:val="0"/>
        <w:spacing w:before="360" w:after="283"/>
        <w:jc w:val="left"/>
        <w:rPr>
          <w:rFonts w:ascii="Times New Roman" w:hAnsi="Times New Roman"/>
          <w:sz w:val="20"/>
        </w:rPr>
      </w:pPr>
      <w:r>
        <w:rPr>
          <w:rFonts w:ascii="Times New Roman" w:hAnsi="Times New Roman"/>
          <w:b/>
          <w:i/>
          <w:color w:val="000000"/>
          <w:sz w:val="20"/>
        </w:rPr>
        <w:t>Proposal 1 - Election of Directors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stockholders elected the three Class I directors to the Company’s board of directors, to serve until the 2029 annual meeting of stockholders and until his or her successor has been duly elected and qualified, or until his or her earlier death, resignation or removal. </w:t>
      </w:r>
    </w:p>
    <w:tbl>
      <w:tblPr>
        <w:tblW w:w="5246" w:type="dxa"/>
        <w:jc w:val="left"/>
        <w:tblInd w:w="0" w:type="dxa"/>
        <w:tblLayout w:type="fixed"/>
        <w:tblCellMar>
          <w:top w:w="28" w:type="dxa"/>
          <w:left w:w="28" w:type="dxa"/>
          <w:bottom w:w="28" w:type="dxa"/>
          <w:right w:w="28" w:type="dxa"/>
        </w:tblCellMar>
      </w:tblPr>
      <w:tblGrid>
        <w:gridCol w:w="2551"/>
        <w:gridCol w:w="109"/>
        <w:gridCol w:w="1036"/>
        <w:gridCol w:w="109"/>
        <w:gridCol w:w="1441"/>
      </w:tblGrid>
      <w:tr>
        <w:trPr/>
        <w:tc>
          <w:tcPr>
            <w:tcW w:w="2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Director Nominee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Votes For</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Votes Withheld</w:t>
            </w:r>
          </w:p>
        </w:tc>
      </w:tr>
      <w:tr>
        <w:trPr/>
        <w:tc>
          <w:tcPr>
            <w:tcW w:w="255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Howard Mayer, M.D.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36,111,969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8,502,248</w:t>
            </w:r>
          </w:p>
        </w:tc>
      </w:tr>
      <w:tr>
        <w:trPr/>
        <w:tc>
          <w:tcPr>
            <w:tcW w:w="255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Joshua Resnick, M.D., M.B.A.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35,766,232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8,847,985</w:t>
            </w:r>
          </w:p>
        </w:tc>
      </w:tr>
      <w:tr>
        <w:trPr/>
        <w:tc>
          <w:tcPr>
            <w:tcW w:w="255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Lisa Wyman, M.S.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39,423,497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5,190,720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10,036,628 broker non-votes regarding the election of each of Howard Mayer, Joshua Resnick, and Lisa Wyman. </w:t>
      </w:r>
    </w:p>
    <w:p>
      <w:pPr>
        <w:pStyle w:val="TextBody"/>
        <w:bidi w:val="0"/>
        <w:spacing w:before="360" w:after="283"/>
        <w:jc w:val="left"/>
        <w:rPr>
          <w:rFonts w:ascii="Times New Roman" w:hAnsi="Times New Roman"/>
          <w:sz w:val="20"/>
        </w:rPr>
      </w:pPr>
      <w:r>
        <w:rPr>
          <w:rFonts w:ascii="Times New Roman" w:hAnsi="Times New Roman"/>
          <w:b/>
          <w:i/>
          <w:color w:val="000000"/>
          <w:sz w:val="20"/>
        </w:rPr>
        <w:t>Proposal 2 - Ratification of Appointment of Independent Registered Accounting Firm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stockholders ratified the appointment of KPMG LLP as the Company’s independent registered public accounting firm for the fiscal year ending December 31, 2026. </w:t>
      </w:r>
    </w:p>
    <w:tbl>
      <w:tblPr>
        <w:tblW w:w="3656" w:type="dxa"/>
        <w:jc w:val="left"/>
        <w:tblInd w:w="0" w:type="dxa"/>
        <w:tblLayout w:type="fixed"/>
        <w:tblCellMar>
          <w:top w:w="28" w:type="dxa"/>
          <w:left w:w="28" w:type="dxa"/>
          <w:bottom w:w="28" w:type="dxa"/>
          <w:right w:w="28" w:type="dxa"/>
        </w:tblCellMar>
      </w:tblPr>
      <w:tblGrid>
        <w:gridCol w:w="1051"/>
        <w:gridCol w:w="109"/>
        <w:gridCol w:w="1261"/>
        <w:gridCol w:w="109"/>
        <w:gridCol w:w="1126"/>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Votes For</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Votes Against</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Abstentions</w:t>
            </w:r>
          </w:p>
        </w:tc>
      </w:tr>
      <w:tr>
        <w:trPr/>
        <w:tc>
          <w:tcPr>
            <w:tcW w:w="105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54,556,255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77,083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17,507</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zero broker non-votes regarding this proposal.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54" w:type="dxa"/>
        <w:jc w:val="left"/>
        <w:tblInd w:w="0" w:type="dxa"/>
        <w:tblLayout w:type="fixed"/>
        <w:tblCellMar>
          <w:top w:w="28" w:type="dxa"/>
          <w:left w:w="28" w:type="dxa"/>
          <w:bottom w:w="28" w:type="dxa"/>
          <w:right w:w="28" w:type="dxa"/>
        </w:tblCellMar>
      </w:tblPr>
      <w:tblGrid>
        <w:gridCol w:w="556"/>
        <w:gridCol w:w="1246"/>
        <w:gridCol w:w="451"/>
        <w:gridCol w:w="330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PEPGEN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22,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0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Noel Donnelly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Noel Donnelly,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3482</Characters>
  <CharactersWithSpaces>4093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