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epg-20260630.htm"/>
      <w:bookmarkStart w:id="1" w:name="kspepg20260630"/>
      <w:bookmarkEnd w:id="0"/>
      <w:bookmarkEnd w:id="1"/>
      <w:r>
        <w:rPr/>
        <w:t> </w:t>
      </w:r>
    </w:p>
    <w:p>
      <w:pPr>
        <w:pStyle w:val="TextBody"/>
        <w:bidi w:val="0"/>
        <w:jc w:val="left"/>
        <w:rPr>
          <w:rFonts w:ascii="Times New Roman" w:hAnsi="Times New Roman"/>
          <w:sz w:val="20"/>
        </w:rPr>
      </w:pPr>
      <w:r>
        <w:rPr>
          <w:rFonts w:ascii="Times New Roman" w:hAnsi="Times New Roman"/>
          <w:color w:val="000000"/>
          <w:sz w:val="2"/>
        </w:rPr>
        <w:t>4</w:t>
      </w:r>
      <w:r>
        <w:rPr>
          <w:rFonts w:ascii="Times New Roman" w:hAnsi="Times New Roman"/>
          <w:color w:val="000000"/>
          <w:sz w:val="20"/>
        </w:rPr>
        <w:t xml:space="preserve">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001-41374</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PEPGEN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767" w:type="dxa"/>
        <w:jc w:val="left"/>
        <w:tblInd w:w="0" w:type="dxa"/>
        <w:tblLayout w:type="fixed"/>
        <w:tblCellMar>
          <w:top w:w="28" w:type="dxa"/>
          <w:left w:w="28" w:type="dxa"/>
          <w:bottom w:w="28" w:type="dxa"/>
          <w:right w:w="28" w:type="dxa"/>
        </w:tblCellMar>
      </w:tblPr>
      <w:tblGrid>
        <w:gridCol w:w="2521"/>
        <w:gridCol w:w="1246"/>
      </w:tblGrid>
      <w:tr>
        <w:trPr/>
        <w:tc>
          <w:tcPr>
            <w:tcW w:w="25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85-3819886</w:t>
            </w:r>
          </w:p>
        </w:tc>
      </w:tr>
      <w:tr>
        <w:trPr/>
        <w:tc>
          <w:tcPr>
            <w:tcW w:w="25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21" w:type="dxa"/>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321 Harrison Ave. 8th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Boston,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(781) 797-0979</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PEPG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As of August 2, 2026, the registrant had 69,259,517</w:t>
      </w:r>
      <w:r>
        <w:rPr>
          <w:rFonts w:ascii="Times New Roman" w:hAnsi="Times New Roman"/>
          <w:color w:val="000000"/>
          <w:sz w:val="20"/>
        </w:rPr>
        <w:t xml:space="preserve"> </w:t>
      </w:r>
      <w:r>
        <w:rPr>
          <w:rFonts w:ascii="Times New Roman" w:hAnsi="Times New Roman"/>
          <w:color w:val="000000"/>
          <w:sz w:val="18"/>
        </w:rPr>
        <w:t>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
              <w:r>
                <w:rPr>
                  <w:rStyle w:val="InternetLink"/>
                  <w:rFonts w:ascii="Times New Roman" w:hAnsi="Times New Roman"/>
                  <w:b/>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eferred_stock_and_stockholders">
              <w:r>
                <w:rPr>
                  <w:rStyle w:val="InternetLink"/>
                  <w:rFonts w:ascii="Times New Roman" w:hAnsi="Times New Roman"/>
                  <w:color w:val="0000FF"/>
                  <w:sz w:val="20"/>
                  <w:u w:val="single"/>
                </w:rPr>
                <w:t>Condensed Consolidated Statements of Stockholders’ Equity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or Form 10-Q, contains express or implied forward-looking statements that are based on our management’s belief and assumptions and on information currently available to our management and which are made pursuant to the safe harbor provisions of Section 27A of the Securities Act of 1933, as amended, or the Securities Act, and Section 21E of the Securities Exchange Act of 1934, as amended, or the Exchange Act.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and the period during which the results of our clinical trials will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efficiently develop our existing product candidate and discover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manufacture our investigational drug substances and drug product for preclinical use, for clinical trials and on a larger scale for commercial use, if our investigational drug candidate or any new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commercialization of our existing product candidate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existing product candidate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our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future expenses, revenues, capital requirements, and our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or U.S.,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 and our ability to identify and contract with alternative third-party suppliers and manufacturers in a timely manner and on reasonable terms,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produce our products or product candidates with advantages in turnaround times or manufacturing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research and development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current or future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any epidemics or pandemics, including mitigation efforts and economic effects, on any of the foregoing or other aspects of our business operations, including but not limited to our preclinical studies and clinical trials and any future studies or trials;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other risks and uncertainties, including those listed under the caption “</w:t>
      </w:r>
      <w:r>
        <w:rPr>
          <w:rFonts w:ascii="Times New Roman" w:hAnsi="Times New Roman"/>
          <w:i/>
          <w:color w:val="000000"/>
          <w:sz w:val="20"/>
        </w:rPr>
        <w:t>Risk Factors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and are subject to change due to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w:t>
      </w:r>
      <w:r>
        <w:rPr>
          <w:rFonts w:ascii="Times New Roman" w:hAnsi="Times New Roman"/>
          <w:i/>
          <w:color w:val="000000"/>
          <w:sz w:val="20"/>
        </w:rPr>
        <w:t>Risk Factors</w:t>
      </w:r>
      <w:r>
        <w:rPr>
          <w:rFonts w:ascii="Times New Roman" w:hAnsi="Times New Roman"/>
          <w:color w:val="000000"/>
          <w:sz w:val="20"/>
        </w:rPr>
        <w:t>” and elsewhere in this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Moreover, we operate in an evolving environment. New risk factors and uncertainties may emerge from time to time, and it is not possible for management to predict all risk factors and uncertainties. You should read this Form 10-Q and the documents that we reference in this Form 10-Q and have filed with the U.S. Securities and Exchange Commission, or the SEC, completely and with the understanding that our actual future results may be materially different from any future results expressed or implied by these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pStyle w:val="TextBody"/>
        <w:bidi w:val="0"/>
        <w:spacing w:before="240" w:after="283"/>
        <w:jc w:val="left"/>
        <w:rPr>
          <w:rFonts w:ascii="Times New Roman" w:hAnsi="Times New Roman"/>
          <w:sz w:val="20"/>
        </w:rPr>
      </w:pPr>
      <w:r>
        <w:rPr>
          <w:rFonts w:ascii="Times New Roman" w:hAnsi="Times New Roman"/>
          <w:color w:val="000000"/>
          <w:sz w:val="20"/>
        </w:rPr>
        <w:t>This Form 10-Q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Form 10-Q, their estimates, in particular, as they relate to projections, involve numerous assumptions, are subject to risks and uncertainties and are subject to change based on various factors, including those discussed under the section titled “</w:t>
      </w:r>
      <w:r>
        <w:rPr>
          <w:rFonts w:ascii="Times New Roman" w:hAnsi="Times New Roman"/>
          <w:i/>
          <w:color w:val="000000"/>
          <w:sz w:val="20"/>
        </w:rPr>
        <w:t>Risk Factors</w:t>
      </w:r>
      <w:r>
        <w:rPr>
          <w:rFonts w:ascii="Times New Roman" w:hAnsi="Times New Roman"/>
          <w:color w:val="000000"/>
          <w:sz w:val="20"/>
        </w:rPr>
        <w:t>” and elsewhere in this 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TRADEMARKS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Form 10-Q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in evaluating our business.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lead product candidate, PGN-EDODM1. If we are unable to complete development of, obtain approval for and commercialize PGN-EDODM1 in a timely manner or at all,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have no products approved for sale and we expect to incur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substantial additional funding. If we are unable to raise substantial additional funding when needed, we could be forced to delay, scale back or discontinue our product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having conducted only two Phase 1 and three Phase 2 clinical trials since our inception and as a result it will be years before we commercialize a product candidate, if ever. If we are unable to advance our remaining clinical stage product candidate through clinical trials, obtain marketing approval and ultimately commercialize it,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is a lengthy and expensive process, and preclinical and clinical testing is uncertain as to the outcome. We may encounter substantial delays in the commencement, enrollment or completion of our clinical trials and may never advance to clinical trials, or we may fail to demonstrate safety and effectiveness to the satisfaction of applicable regulatory authorities, which could prevent us from advancing or commercializing our product candidates on a timely basis,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ability to complete clinical trials may be adversely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cause undesirable side effects or have other unexpected adverse properties, such side effects or properties could delay or prevent the initiation or completion of clinical trials, regulatory approval, limit the commercial potential or result in significant negative consequences following any potential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conduct some or all aspects of our product manufacturing, research, preclinical and clinical testing, and these third parties may not perform satisfactorily. If we need to replace one or more of these third parties, our development plans may be significantly delayed and we may expend more funds than currently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depend on a small number of third-party suppliers to supply the product candidates that we are evaluating in our research and development programs. The loss of these or future third-party suppliers, or their inability to provide us with sufficient supply, could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and if our competitors develop technologies or product candidates more rapidly than we do or their technologies or product candidates are more effective or have more favorable safety or tolerability profiles, our business and our ability to develop and successfully commercialize products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approval from the FDA or comparable foreign regulatory authorities, where applicable, under the accelerated approval pathways. We may fail to obtain approval under such accelerated approval pathways. Moreover, these pathways may not lead to a faster development, regulatory review or approval process and do not increase the likelihood that our product candidates will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our Enhanced Delivery Oligonucleotide platform, therapeutic development candidates or programs and/or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product candidates or programs and other proprietary technologies we may develop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expand our headcount over time to support our development and regulatory capabilities and potentially implement sales, marketing and distribution capabilities, and as a result, we may encounter difficulties in managing our growth, which could disrupt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ability to retain key executives and to attract, retain and motivate qualified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common stock is volatile and fluctuates substantially, which could result in substantial losses for holders of our common stock. </w:t>
      </w:r>
    </w:p>
    <w:p>
      <w:pPr>
        <w:pStyle w:val="TextBody"/>
        <w:bidi w:val="0"/>
        <w:spacing w:before="240" w:after="283"/>
        <w:jc w:val="left"/>
        <w:rPr>
          <w:rFonts w:ascii="Times New Roman" w:hAnsi="Times New Roman"/>
          <w:sz w:val="20"/>
        </w:rPr>
      </w:pPr>
      <w:r>
        <w:rPr>
          <w:rFonts w:ascii="Times New Roman" w:hAnsi="Times New Roman"/>
          <w:color w:val="000000"/>
          <w:sz w:val="20"/>
        </w:rPr>
        <w:t>The summary risk factors described above should be read together with the text of the full risk factors below in the section titled “</w:t>
      </w:r>
      <w:r>
        <w:rPr>
          <w:rFonts w:ascii="Times New Roman" w:hAnsi="Times New Roman"/>
          <w:i/>
          <w:color w:val="000000"/>
          <w:sz w:val="20"/>
        </w:rPr>
        <w:t>Risk Factors</w:t>
      </w:r>
      <w:r>
        <w:rPr>
          <w:rFonts w:ascii="Times New Roman" w:hAnsi="Times New Roman"/>
          <w:color w:val="000000"/>
          <w:sz w:val="20"/>
        </w:rPr>
        <w:t>” in Part II, Item 1.A. and the other information set forth in this Form 10-Q,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financial"/>
      <w:bookmarkEnd w:id="2"/>
      <w:r>
        <w:rPr>
          <w:rFonts w:ascii="Times New Roman" w:hAnsi="Times New Roman"/>
          <w:b/>
          <w:color w:val="000000"/>
          <w:sz w:val="20"/>
        </w:rPr>
        <w:t>PART I—FINANCIAL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3" w:name="item_1_financial"/>
      <w:bookmarkEnd w:id="3"/>
      <w:r>
        <w:rPr>
          <w:rFonts w:ascii="Times New Roman" w:hAnsi="Times New Roman"/>
          <w:b/>
          <w:color w:val="000000"/>
          <w:sz w:val="20"/>
        </w:rPr>
        <w:t>Item 1.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jc w:val="center"/>
        <w:rPr>
          <w:rFonts w:ascii="Times New Roman" w:hAnsi="Times New Roman"/>
          <w:b/>
          <w:color w:val="000000"/>
          <w:sz w:val="20"/>
        </w:rPr>
      </w:pPr>
      <w:r>
        <w:rPr>
          <w:rFonts w:ascii="Times New Roman" w:hAnsi="Times New Roman"/>
          <w:b/>
          <w:color w:val="000000"/>
          <w:sz w:val="20"/>
        </w:rPr>
        <w:t>PEPGEN INC.</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282" w:type="dxa"/>
        <w:jc w:val="left"/>
        <w:tblInd w:w="0" w:type="dxa"/>
        <w:tblLayout w:type="fixed"/>
        <w:tblCellMar>
          <w:top w:w="28" w:type="dxa"/>
          <w:left w:w="28" w:type="dxa"/>
          <w:bottom w:w="28" w:type="dxa"/>
          <w:right w:w="28" w:type="dxa"/>
        </w:tblCellMar>
      </w:tblPr>
      <w:tblGrid>
        <w:gridCol w:w="4266"/>
        <w:gridCol w:w="146"/>
        <w:gridCol w:w="211"/>
        <w:gridCol w:w="841"/>
        <w:gridCol w:w="166"/>
        <w:gridCol w:w="146"/>
        <w:gridCol w:w="219"/>
        <w:gridCol w:w="876"/>
        <w:gridCol w:w="41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PEPGEN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69,202,376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32,748,646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69,147,045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32,711,887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translation adjustment arising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PEPGEN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preferred_stock_and_stockholders"/>
      <w:bookmarkEnd w:id="6"/>
      <w:r>
        <w:rPr>
          <w:rFonts w:ascii="Times New Roman" w:hAnsi="Times New Roman"/>
          <w:b/>
          <w:color w:val="000000"/>
          <w:sz w:val="20"/>
        </w:rPr>
        <w:t>CONDENSED CONSOLIDATED STATEMENTS OF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90"/>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1"/>
        <w:gridCol w:w="819"/>
        <w:gridCol w:w="212"/>
      </w:tblGrid>
      <w:tr>
        <w:trPr/>
        <w:tc>
          <w:tcPr>
            <w:tcW w:w="2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68,874,944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At-the-Market Sales Agreement, net of underwriters'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69,167,958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133,980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69,259,517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119,533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32,619,663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118,620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 adjustment arising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32,720,943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32,799,724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PEPGEN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42"/>
        <w:gridCol w:w="146"/>
        <w:gridCol w:w="211"/>
        <w:gridCol w:w="736"/>
        <w:gridCol w:w="166"/>
        <w:gridCol w:w="146"/>
        <w:gridCol w:w="211"/>
        <w:gridCol w:w="736"/>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and interest accretion related to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and accretion of discounts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Prepaids and other current and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from At-the-Market Sales Agreement, net of underwriters'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PEPGEN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
      <w:bookmarkEnd w:id="8"/>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Business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PepGen Inc., hereinafter referred to as PepGen or the Company, is a clinical-stage biotechnology company advancing the next generation of oligonucleotide therapeutics with the goal of transforming the treatment of severe neuromuscular and neurologic diseases. The Company's principal offices are located in Boston, Massachusetts.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inception, the Company has not generated any revenue from product sales or other sources and has incurred significant operating losses and negative cash flows from operations. The Company’s primary uses of cash, cash equivalents, and marketable securities to date have been funding research and development activities, business planning, establishing and maintaining the Company’s intellectual property portfolio, hiring personnel, leasing premises and associated capital expenditures, raising capital, and providing general and administrative support for these operations. As of June 30, 2026, the Company had an accumulated deficit of $396.7 million. To date, the Company has funded operations primarily through private placements of convertible preferred stock, the sale of shares of common stock in its initial public offering, or IPO, the sale of shares of common stock under its At-the-Market Equity Offering Sales Agreement, or Sales Agreement, with Stifel, Nicolaus &amp; Company, Incorporated, or Stifel, and through the sale of shares of common stock in follow-on public offerings in February 2024, referred to as the 2024 Offering, and in September 2025, referred to as the 2025 Offering. As of June 30, 2026, the Company had cash, cash equivalents, and marketable securities of $117.2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its cash, cash equivalents, and marketable securities as of June 30, 2026, will be sufficient to fund its currently planned operations for at least the next 12 months from the issuance of these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Company continues to pursue its business plan to successfully develop and obtain regulatory approval for its product candidates, it expects to finance its operations through the sale of equity, debt financings or other capital resources, which could include income from collaborations, strategic partnerships or marketing, distribution, licensing or other strategic arrangements with third parties, or from grants. However, there can be no assurance that any additional financing or strategic transactions will be available to the Company 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or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 and Consolidation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are unaudited and have been prepared in conformity with generally accepted accounting principles in the United States of America, or GAAP. Any reference in these notes to applicable guidance is meant to refer to the authoritative GAAP as found in the Accounting Standards Codification and Accounting Standards Update of the Financial Accounting Standards Board, or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have been prepared on the same basis as the audited annual financial statements. Certain information and footnote disclosures normally included in the Company’s annual financial statements have been condensed or omitted. These condensed consolidated financial statements, in the opinion of management, reflect all normal recurring adjustments necessary for a fair presentation of the Company’s financial position as of June 30, 2026, and results of operations for the interim periods ended June 30, 2026 and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operations for the interim periods are not necessarily indicative of the results of operations to be expected for the full year. These condensed consolidated financial statements should be read in conjunction with the audited financial statements as of and for the years ended December 31, 2025 and 2024, and the notes thereto, included in the Company’s Annual Report on Form 10-K, filed with the SEC on March 4, 2026, or Form 10-K.</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significant accounting policies are disclosed in the audited financial statements for the year ended December 31, 2025 included in the Form 10-K. Since the date of those financial statements, there have been no changes to the Company’s significant accounting policies.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standard-setting bodies that the Company adopts as of the specified effective date. The Company qualifies as an “emerging growth company” as defined in the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consolidated financial statements and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w:t>
      </w:r>
      <w:r>
        <w:rPr>
          <w:rFonts w:ascii="Times New Roman" w:hAnsi="Times New Roman"/>
          <w:i/>
          <w:color w:val="000000"/>
          <w:sz w:val="20"/>
        </w:rPr>
        <w:t>(Subtopic 220-40)</w:t>
      </w:r>
      <w:r>
        <w:rPr>
          <w:rFonts w:ascii="Times New Roman" w:hAnsi="Times New Roman"/>
          <w:color w:val="000000"/>
          <w:sz w:val="20"/>
        </w:rPr>
        <w:t>, or ASU 2024-03. ASU 2024-03 requires companies to disaggregate certain expenses presented on the face of the financial statements to enhance transparency and help investors better understand an entity's performance within the notes to the financial statements. The amendments in ASU 2024-03 are effective for fiscal years beginning after December 15, 2026, and interim periods within fiscal years beginning after December 15, 2027, with early adoption permitted. The Company will not be required to adopt ASU 2024-03 until January 1, 2027. The Company is currently evaluating the potential impact of the adoption of ASU 2024-03 on its financial statement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that have been measured at fair value as of June 30, 2026 and December 31, 2025, and indicate the fair value of the hierarchy of the valuation inputs utilized to determine such fair value. In general, fair values determined by Level 1 inputs utilize quoted prices (unadjusted) in active markets for identical assets or liabilities. All instruments held by the Company are Level 1. The following tables set forth marketable securities as of June 30, 2026 and December 31, 2025 (in thousands):</w:t>
      </w:r>
    </w:p>
    <w:p>
      <w:pPr>
        <w:pStyle w:val="TextBody"/>
        <w:bidi w:val="0"/>
        <w:jc w:val="left"/>
        <w:rPr/>
      </w:pPr>
      <w:r>
        <w:rPr/>
        <w:t> </w:t>
      </w:r>
    </w:p>
    <w:tbl>
      <w:tblPr>
        <w:tblW w:w="7776" w:type="dxa"/>
        <w:jc w:val="left"/>
        <w:tblInd w:w="0" w:type="dxa"/>
        <w:tblLayout w:type="fixed"/>
        <w:tblCellMar>
          <w:top w:w="28" w:type="dxa"/>
          <w:left w:w="28" w:type="dxa"/>
          <w:bottom w:w="28" w:type="dxa"/>
          <w:right w:w="28" w:type="dxa"/>
        </w:tblCellMar>
      </w:tblPr>
      <w:tblGrid>
        <w:gridCol w:w="1681"/>
        <w:gridCol w:w="146"/>
        <w:gridCol w:w="296"/>
        <w:gridCol w:w="949"/>
        <w:gridCol w:w="146"/>
        <w:gridCol w:w="146"/>
        <w:gridCol w:w="510"/>
        <w:gridCol w:w="840"/>
        <w:gridCol w:w="146"/>
        <w:gridCol w:w="146"/>
        <w:gridCol w:w="495"/>
        <w:gridCol w:w="885"/>
        <w:gridCol w:w="166"/>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56" w:type="dxa"/>
        <w:jc w:val="left"/>
        <w:tblInd w:w="0" w:type="dxa"/>
        <w:tblLayout w:type="fixed"/>
        <w:tblCellMar>
          <w:top w:w="28" w:type="dxa"/>
          <w:left w:w="28" w:type="dxa"/>
          <w:bottom w:w="28" w:type="dxa"/>
          <w:right w:w="28" w:type="dxa"/>
        </w:tblCellMar>
      </w:tblPr>
      <w:tblGrid>
        <w:gridCol w:w="1681"/>
        <w:gridCol w:w="146"/>
        <w:gridCol w:w="296"/>
        <w:gridCol w:w="949"/>
        <w:gridCol w:w="146"/>
        <w:gridCol w:w="146"/>
        <w:gridCol w:w="539"/>
        <w:gridCol w:w="811"/>
        <w:gridCol w:w="146"/>
        <w:gridCol w:w="146"/>
        <w:gridCol w:w="522"/>
        <w:gridCol w:w="858"/>
        <w:gridCol w:w="146"/>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tables set forth the fair value of the Company’s financial assets measured at fair value on a recurring basis and indicate the level within the fair value hierarchy utilized to determine such values as of June 30, 2026 and December 31, 2025 (in thousands): </w:t>
      </w:r>
    </w:p>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3641"/>
        <w:gridCol w:w="146"/>
        <w:gridCol w:w="211"/>
        <w:gridCol w:w="781"/>
        <w:gridCol w:w="146"/>
        <w:gridCol w:w="146"/>
        <w:gridCol w:w="211"/>
        <w:gridCol w:w="781"/>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Treasury-backed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3641"/>
        <w:gridCol w:w="146"/>
        <w:gridCol w:w="211"/>
        <w:gridCol w:w="781"/>
        <w:gridCol w:w="146"/>
        <w:gridCol w:w="146"/>
        <w:gridCol w:w="211"/>
        <w:gridCol w:w="781"/>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Treasury-backed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highly liquid investments that are valued based on quoted market prices in active markets, which represent a Level 1 measurement within the fair value hierarchy. These money market funds are classified on the consolidated balance sheets under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scheduled maturity for the Company's marketable securities for the period presented (in thousands):</w:t>
      </w:r>
    </w:p>
    <w:p>
      <w:pPr>
        <w:pStyle w:val="TextBody"/>
        <w:bidi w:val="0"/>
        <w:spacing w:before="240" w:after="283"/>
        <w:jc w:val="left"/>
        <w:rPr/>
      </w:pPr>
      <w:r>
        <w:rPr/>
        <w:t> </w:t>
      </w:r>
    </w:p>
    <w:tbl>
      <w:tblPr>
        <w:tblW w:w="3610" w:type="dxa"/>
        <w:jc w:val="left"/>
        <w:tblInd w:w="0" w:type="dxa"/>
        <w:tblLayout w:type="fixed"/>
        <w:tblCellMar>
          <w:top w:w="28" w:type="dxa"/>
          <w:left w:w="28" w:type="dxa"/>
          <w:bottom w:w="28" w:type="dxa"/>
          <w:right w:w="28" w:type="dxa"/>
        </w:tblCellMar>
      </w:tblPr>
      <w:tblGrid>
        <w:gridCol w:w="238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and accumulated depreciation of property and equipment were as follows (in thousands): </w:t>
      </w:r>
    </w:p>
    <w:tbl>
      <w:tblPr>
        <w:tblW w:w="5502" w:type="dxa"/>
        <w:jc w:val="left"/>
        <w:tblInd w:w="0" w:type="dxa"/>
        <w:tblLayout w:type="fixed"/>
        <w:tblCellMar>
          <w:top w:w="28" w:type="dxa"/>
          <w:left w:w="28" w:type="dxa"/>
          <w:bottom w:w="28" w:type="dxa"/>
          <w:right w:w="28" w:type="dxa"/>
        </w:tblCellMar>
      </w:tblPr>
      <w:tblGrid>
        <w:gridCol w:w="2896"/>
        <w:gridCol w:w="146"/>
        <w:gridCol w:w="211"/>
        <w:gridCol w:w="631"/>
        <w:gridCol w:w="166"/>
        <w:gridCol w:w="146"/>
        <w:gridCol w:w="274"/>
        <w:gridCol w:w="82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$0.3 million for each of the three months ended June 30, 2026 and June 30, 2025. Depreciation expense was $0.6 million for the six months ended June 30, 2026 and $0.7 million for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2025, the Company also took $0.7 million in non-cash charges to research and development and general and administrative expense, associated with the impairment of unused lab equipment and computer and office equipment.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tbl>
      <w:tblPr>
        <w:tblW w:w="5597" w:type="dxa"/>
        <w:jc w:val="left"/>
        <w:tblInd w:w="0" w:type="dxa"/>
        <w:tblLayout w:type="fixed"/>
        <w:tblCellMar>
          <w:top w:w="28" w:type="dxa"/>
          <w:left w:w="28" w:type="dxa"/>
          <w:bottom w:w="28" w:type="dxa"/>
          <w:right w:w="28" w:type="dxa"/>
        </w:tblCellMar>
      </w:tblPr>
      <w:tblGrid>
        <w:gridCol w:w="3091"/>
        <w:gridCol w:w="146"/>
        <w:gridCol w:w="211"/>
        <w:gridCol w:w="571"/>
        <w:gridCol w:w="146"/>
        <w:gridCol w:w="146"/>
        <w:gridCol w:w="294"/>
        <w:gridCol w:w="80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6.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Technology License Agreement with Oxford University Innovation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2018, the Company, Oxford University Innovation Limited, or OUI, and the Medical Research Council of United Kingdom Research and Innovation, or MRC, or collectively, the Licensors, entered into a license of technology agreement, which was subsequently amended in December 2018, further amended and restated in November 2020, and further amended in February 2022, referred to, as so amended, as the License Agreement. The Licensors and affiliates held shares of Series A-1 and Series A-2 preferred stock, Series B preferred stock and Class A common stock. The License Agreement provides the Company with an exclusive worldwide license to licensed data and technology owned by OUI and MRC in respect of cell-penetrating peptides for the treatment of Duchenne muscular dystrophy, spinal muscular atrophy, and other conditions. The License Agreement provides the Company with the rights to grant and authorize sublicenses to make, use, sell, and import products and otherwise exploit the patent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license, the Company made an initial upfront payment in 2018, as well as a Restatement Completion Fee and a License Data Fee (each as defined in the License Agreement) in 2020 totaling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could be required to make milestone payments to the Licensors upon achievement of certain patent and commercial milestones related to the patents and commercialization of certain of the Company’s product candidates. The aggregate potential milestone payments are $0.1 million. In 2024, the Company paid the Licensors a patent procurement milestone of £10,000, adjusted per the retail price index under the terms of the License Agreement. The Company also agreed to pay the Licensors low single digit royalties on net sales of any licensed products that are commercialized by the Company in excess of a threshold amount between £20 million and £30 million ($26.5 million and $39.7 million as of June 30, 2026), subject to certain adjustments. The term of the License Agreement continues until the later of (i) the date on which all the patents and patent applications covered thereunder have been abandoned or allowed to lapse or expired or been rejected or revoked or (ii) 20 years from the date of the original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completion of the IPO, the Company became obligated to pay OUI an exit fee between 0.5% to 2% of the value determined in an acquisition or initial public offering, not to exceed £5 million ($6.2 million as of the IPO date). The exit fee due to OUI, based on the proceeds of the IPO, was $1.4 million, which was paid during the second quarter of 2022 and included in research and development expense on the condensed consolidated statement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Oxford Science Enterprises, or OSE, which is an affiliate of OUI, owned 7.2% of the Company’s outstanding common stock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 Capital Management, 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Entities affiliated with RA Capital Management, L.P., or RA Capital, purchased common stock in the Company’s IPO in May 2022, the Company’s 2024 Offering in February 2024, and the Company’s 2025 Offering in September 2025. As of June 30, 2026, entities affiliated with RA Capital owned 29.0% of the Company’s outstanding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members of the Company’s board of directors, Dr. Joshua Resnick and Habib Dable, are affiliated with RA Capital. Pursuant to the governing legal documents of RA Capital, Dr. Resnick is obligated to transfer any cash compensation from the Company to RA Capital. Fees paid in cash for Dr. Resnick's service on the Company's board of directors were paid directly to RA Capital and are included within general and administrative expense on the consolidated statement of operations. The Company paid $11,000 and $12,000 for the three months ended June 30, 2026 and 2025, respectively, and $22,000 and $24,000 for the six months ended June 30, 2026 and 2025, respectively, to RA Capital for Dr. Resnick’s service on the board of directors.</w:t>
      </w:r>
    </w:p>
    <w:p>
      <w:pPr>
        <w:pStyle w:val="TextBody"/>
        <w:bidi w:val="0"/>
        <w:spacing w:before="24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9, 2025, a putative shareholder class action captioned Johnny Karam v. PepGen Inc., et al. was filed in the United States District Court for the Eastern District of New York, naming the Company and its Chief Executive Officer and Chief Financial Officer as defendants. On November 18, 2025, the parties filed a stipulation of voluntary dismissal of the action. Separately, by a letter received by the Company on September 29, 2025, a putative shareholder of the Company made a purported shareholder demand based on substantially the same allegations as those set forth in the above-mentioned putative class action suit. On December 1, 2025, the demanding shareholder withdrew the demand.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not party to any other litigation and does not have contingency reserves established for any litigation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standard indemnification agreements in the ordinary course of business. Pursuant to the agreements, the Company agrees to indemnify, hold harmless, and to reimburse the indemnified party for losses suffered or incurred by the indemnified party, including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June 30, 2026. The Company does not anticipate recognizing any significant losses relating to these arrangements. The term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indemnification agreements is generally perpetual any time after execution of the agreement. The maximum potential amount of future payments the Company could be required to make under these indemnification agreements may be unlimited. The Company has never incurred costs to defend lawsuits or settle claims related to these indemnification agreements. </w:t>
      </w:r>
    </w:p>
    <w:p>
      <w:pPr>
        <w:pStyle w:val="TextBody"/>
        <w:bidi w:val="0"/>
        <w:spacing w:before="240" w:after="283"/>
        <w:jc w:val="left"/>
        <w:rPr>
          <w:rFonts w:ascii="Times New Roman" w:hAnsi="Times New Roman"/>
          <w:sz w:val="20"/>
        </w:rPr>
      </w:pPr>
      <w:r>
        <w:rPr>
          <w:rFonts w:ascii="Times New Roman" w:hAnsi="Times New Roman"/>
          <w:b/>
          <w:color w:val="000000"/>
          <w:sz w:val="20"/>
        </w:rPr>
        <w:t>8.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Third Amended and Restated Certificate of Incorporation, dated May 10, 2022, as amended on June 20, 2024, as currently in effect, the Company has the authority to issue a total of 500,000,000 shares of common stock (par value of $0.0001 per share) and 10,000,000 shares of undesignated preferred stock (par value of $0.0001 per share). Each share of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as to dividends. No cash dividends were declared by the board of directors during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common stock for issuance, on an as-converted basis, as follows: </w:t>
      </w:r>
    </w:p>
    <w:p>
      <w:pPr>
        <w:pStyle w:val="TextBody"/>
        <w:bidi w:val="0"/>
        <w:jc w:val="left"/>
        <w:rPr/>
      </w:pPr>
      <w:r>
        <w:rPr/>
        <w:t> </w:t>
      </w:r>
    </w:p>
    <w:tbl>
      <w:tblPr>
        <w:tblW w:w="9372" w:type="dxa"/>
        <w:jc w:val="left"/>
        <w:tblInd w:w="0" w:type="dxa"/>
        <w:tblLayout w:type="fixed"/>
        <w:tblCellMar>
          <w:top w:w="28" w:type="dxa"/>
          <w:left w:w="28" w:type="dxa"/>
          <w:bottom w:w="28" w:type="dxa"/>
          <w:right w:w="28" w:type="dxa"/>
        </w:tblCellMar>
      </w:tblPr>
      <w:tblGrid>
        <w:gridCol w:w="6466"/>
        <w:gridCol w:w="146"/>
        <w:gridCol w:w="146"/>
        <w:gridCol w:w="1036"/>
        <w:gridCol w:w="146"/>
        <w:gridCol w:w="146"/>
        <w:gridCol w:w="148"/>
        <w:gridCol w:w="947"/>
        <w:gridCol w:w="1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5,970,707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for future stock awards or option grants under the 2022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for future stock awards or option grants under the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for future issuance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13,317,740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9,343,066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four equity compensation plans; the 2020 Stock Plan, or the 2020 Plan, the 2022 Stock Option and Incentive Plan, or the 2022 Plan, the 2022 Employee Stock Purchase Plan, or the ESPP, and the 2024 Inducement Plan, or the Inducement Plan. As of the Company's IPO in May 2022, the Company's board of directors determined that no further awards would be made under the 2020 Plan. The number of shares of common stock that may be issued under the 2022 Plan is subject to increase by the number of shares under any outstanding stock options forfeited and not exercised under the 2020 Plan. Additionally, the number of shares reserved for issuance under the 2022 Plan automatically increases on the first day of each fiscal year in an amount equal to the lower of (1) 5% of the shares of common stock outstanding on such date and (2) an amount determined by the Company’s board of directors. The 2022 Plan allows the board of directors to grant incentive stock options, non-qualified stock options, stock appreciation rights, restricted stock awards, restricted stock units, unrestricted stock awards, cash-based awards, and dividend equivalent rights to the Company’s officers, employees, directors and other key persons. The number of shares reserved for issuance under the ESPP automatically increases on the first day of each fiscal year in an amount equal to the lower of (1) 1% of the shares of common stock outstanding on such date and (2) an amount determined by the Company’s board of directors. In August 2024, the Company's board of directors adopted the Inducement Plan. The Inducement Plan provides for the grant of non-qualified stock options, stock appreciation rights, restricted stock awards, restricted stock units, unrestricted stock awards, dividend equivalent rights and other stock-based awards with respect to an aggregate of 1,000,000 shares of common stock (subject to adjustment as provided in the Inducement Plan). Awards under the Inducement Plan may only be granted to new employees who were not previously employed by the Company or its affiliates in accordance with the requirements of Nasdaq Stock Market Rule 5635(c)(4).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2,315,899 shares remained available for grant under the 2022 Plan, 1,124,465 shares remained available for issuance under the ESPP, and 637,184 shares remained available for issuance under the Inducement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Repricing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4, 2025, the Company’s board of directors approved an option repricing, or the Repricing, effective as of November 4, 2025, or the Effective Date. The Repricing was undertaken in accordance with, and as permitted by, the Company’s 2020 Plan, 2022 Plan, and Inducement Plan. Pursuant to the Repricing, all options granted pursuant to the 2020 Plan, 2022 Plan and Inducement Plan that are held by current employees, or Eligible Participants, were repriced, to the extent such options had an exercise price in excess of the 52-week high fair market value per share of the Company’s common stock on the Nasdaq Global Select Market determined as of November 4, 2025, or Eligible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exercise price for the Eligible Options is $4.53. However, in order to exercise the repriced options at the reduced exercise price, Eligible Participants are required to remain in service with the Company through the Retention Period (as defined herein). The “Retention Period” begins on the Effective Date and ends on the earliest of the following: (i) March 31, 2027; (ii)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respect to Eligible Options granted under the 2020 Plan, the occurrence of a Sale of the Company (as defined therein), or (iii) with respect to Eligible Options granted under the 2022 Plan and the Inducement Plan, the occurrence of a Sale Event (as defined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approval of the Repricing, the total number of shares underlying all Eligible Options was 3,557,903 shares. The Eligible Options previously had exercise prices ranging from $8.89 to $17.91 per share. There were no changes to the number of shares, the vesting schedule or the expiration date of the Eligible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the option repricing resulted in a total incremental non-cash stock-based compensation expense of $3.4 million, which was calculated using the Black-Scholes option-pricing model, which is being recognized ratably through the 17-month Retention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$0.5 million during the three months ended June 30, 2026, and $1.1 million during the six months ended June 30, 2026 associated with the option repricing which is included in general and administrative and research and development expense in the consolidated statement of operations and comprehensive loss. There was no incremental stock-based compensation expense recognized for the three or six months ended June 30, 2025.</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 activity for the six months ended June 30, 2026, was as follows: </w:t>
      </w:r>
    </w:p>
    <w:p>
      <w:pPr>
        <w:pStyle w:val="TextBody"/>
        <w:bidi w:val="0"/>
        <w:jc w:val="left"/>
        <w:rPr/>
      </w:pPr>
      <w:r>
        <w:rPr/>
        <w:t> </w:t>
      </w:r>
    </w:p>
    <w:tbl>
      <w:tblPr>
        <w:tblW w:w="6563"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458"/>
        <w:gridCol w:w="101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six months ended June 30, 2026 was $4.73 per share. As of June 30, 2026, total unrecognized compensation cost related to stock options, inclusive of the repricing, was $20.4 million. This amount is expected to be recognized over a weighted average period of approximately 2.76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restricted stock unit, or RSU, represents the right to receive one share of common stock upon vesting of the RSU. In February 2024, the Company granted employees a one-time RSU award that vested in full on the one-year anniversary of the grant date, provided that the employee remained employed with the Company through the date of vesting. Certain employees, including employees who are executive officers of the Company, received a one-time RSU award that vests upon the achievement of certain performance-based clinical development milestones, or PSUs, provided that the employee remains employed with the Company through the date of vesting. Such awards could not vest in less than one year, regardless of when the performance milestone was achieved. This milestone was achieved and all PSUs vested on February 24, 2025. During the six months ended June 30, 2025 the Company recognized $0.3 million in expense associated with the achievement of the performance milestone. No PSUs remain outstanding since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2025, the Company introduced RSU grants which generally vest over four years, provided the employee remains employed by the Company through the vesting dates. A summary of the Company’s RSU activity and related information for the six months ended June 30, 2026 is as follows:</w:t>
      </w:r>
    </w:p>
    <w:p>
      <w:pPr>
        <w:pStyle w:val="TextBody"/>
        <w:bidi w:val="0"/>
        <w:jc w:val="left"/>
        <w:rPr/>
      </w:pPr>
      <w:r>
        <w:rPr/>
        <w:t> </w:t>
      </w:r>
    </w:p>
    <w:tbl>
      <w:tblPr>
        <w:tblW w:w="7710" w:type="dxa"/>
        <w:jc w:val="left"/>
        <w:tblInd w:w="0" w:type="dxa"/>
        <w:tblLayout w:type="fixed"/>
        <w:tblCellMar>
          <w:top w:w="28" w:type="dxa"/>
          <w:left w:w="28" w:type="dxa"/>
          <w:bottom w:w="28" w:type="dxa"/>
          <w:right w:w="28" w:type="dxa"/>
        </w:tblCellMar>
      </w:tblPr>
      <w:tblGrid>
        <w:gridCol w:w="3361"/>
        <w:gridCol w:w="346"/>
        <w:gridCol w:w="206"/>
        <w:gridCol w:w="1324"/>
        <w:gridCol w:w="166"/>
        <w:gridCol w:w="146"/>
        <w:gridCol w:w="551"/>
        <w:gridCol w:w="1219"/>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Service-based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the service-based RSUs granted during the six months ended June 30, 2026 was $6.08. During the six months ended June 30, 2026, 58,111 RSUs vested with a total fair value of $0.3 million. As of June 30, 2026, there was $5.6 million of unrecognized compensation costs related to unvested service-based RSUs, which are expected to be recognized over a weighted-average period of 3.52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associated with stock options, RSUs, PSUs, and the Company’s ESPP included in the accompanying unaudited condensed consolidated statements of operations and comprehensive loss is as follows (in thousands): </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Segment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ASU 2023-07 establishes standards for reporting information about operating segments on a basis consistent with the Company’s internal organization structure as well as information about services categories, business segments and major customers in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Segment reporting is prepared on the same basis that the chief executive officer, who is the Company’s chief operating decision maker and manages the business, makes business decisions and assesses performance. The Company has one reportable segment and regularly reviews operating expenses and net loss on a consolidated basis. The Company operates in one location in Boston, Massachusetts focused on advancing oligonucleotide therapeutics with the goal of transforming the treatment of severe neuromuscular and neurologic diseases. The Company tracks external operating expenses on a program-by-program basis. Net loss is comprised of expenses related to the Company's two product candidates, one of which was discontinued in May 2025, and other personnel, facility, and general and administrative costs. Operating expenses and net loss are the basis the chief operating decision maker uses for the purpose of deciding how to allocate resources, specifically on a program basis as presented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operating decision maker uses operating expenses and net loss to evaluate progress on research and development activities on the Company's two product candidates, one of which was discontinued in May 2025, as well as when making strategic decisions regarding the Company's research and development efforts. Operating expenses and loss are also used to monitor budget versus actual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outlines the Company’s functional operating expenses (in thousands):</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36"/>
        <w:gridCol w:w="166"/>
        <w:gridCol w:w="146"/>
        <w:gridCol w:w="211"/>
        <w:gridCol w:w="736"/>
        <w:gridCol w:w="166"/>
        <w:gridCol w:w="146"/>
        <w:gridCol w:w="211"/>
        <w:gridCol w:w="736"/>
        <w:gridCol w:w="166"/>
        <w:gridCol w:w="146"/>
        <w:gridCol w:w="211"/>
        <w:gridCol w:w="736"/>
        <w:gridCol w:w="39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PGN-EDODM1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PGN-EDO51 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Platform and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2_managements_discussion"/>
      <w:bookmarkEnd w:id="9"/>
      <w:r>
        <w:rPr>
          <w:rFonts w:ascii="Times New Roman" w:hAnsi="Times New Roman"/>
          <w:b/>
          <w:color w:val="000000"/>
          <w:sz w:val="20"/>
        </w:rPr>
        <w:t>Item 2. Management’s Discussion</w:t>
      </w:r>
      <w:r>
        <w:rPr>
          <w:rFonts w:ascii="Times New Roman" w:hAnsi="Times New Roman"/>
          <w:color w:val="000000"/>
          <w:sz w:val="20"/>
        </w:rPr>
        <w:t xml:space="preserve"> </w:t>
      </w:r>
      <w:r>
        <w:rPr>
          <w:rFonts w:ascii="Times New Roman" w:hAnsi="Times New Roman"/>
          <w:b/>
          <w:color w:val="000000"/>
          <w:sz w:val="20"/>
        </w:rPr>
        <w:t>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financial statements and the related notes included elsewhere in this Form 10-Q. Some of the information contained in this discussion and analysis or set forth elsewhere in this Form 10-Q, including information with respect to our plans, strategies, objectives, expectations and intentions for our business and related financing, includes forward-looking statements that involve risks and uncertainties. As a result of many factors, including those factors set forth in the “Risk Factors” section of this Form 10-Q, our actual results could differ materially from the results described in or implied by these forward-looking statements. Please also see the section titled “Special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PepGen Inc., also referred to as “PepGen,” “we,” “our” or “us”, is a clinical-stage biotechnology company advancing the next-generation of oligonucleotide therapies with the goal of transforming the treatment of severe neuromuscular and neurological diseases. Our proprietary Enhanced Delivery Oligonucleotide, or EDO, platform is founded on over a decade of research and development and leverages cell-penetrating peptides, or CPPs, to improve the uptake and activity of conjugated oligonucleotide therapeutics. Using these EDO peptides, our goal is to develop a research and development pipeline of oligonucleotide therapeutic candidates that are designed to target the root cause of serious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PGN-EDODM1 for the treatment of DM1 and are utilizing what we believe to be a unique mechanism of action and a different delivery approach compared to other approaches in more advanced stages of clinical development. We have conducted extensive preclinical studies of our product candidate, and these preclinical data form the basis of our clinical development plan for PGN-EDODM1.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development program for PGN-EDODM1 includes three studies, FREEDOM-DM1, or FREEDOM, a multinational, randomized, double-blind, placebo-controlled Phase 1 single ascending dose, or SAD, study, FREEDOM2-DM1, or FREEDOM2, a multinational, randomized, double blind, placebo-controlled Phase 2 MAD study and FREEDOM-OLE, which is an open label extension study open to participants who meet its eligibility criteria and have completed either the FREEDOM or FREEDOM2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FREEDOM study, we enrolled adult participants with DM1 in multiple geographies including the U.S. and Canada, to evaluate the safety and tolerability of PGN-EDODM1, as well as oligonucleotide muscle concentrations, splicing correction and functional outcome measures at day 28 and at week 16 following a single dose of PGN-EDODM1. We announced data from the three cohorts in the FREEDOM study (5 mg/kg, 10 mg/kg and 15 mg/kg) in 2025, highlighting that PGN-EDODM1 was generally well tolerated at all doses, with all drug-related adverse events mild or moderate in severity and a dose dependent mean splicing correction of 12.3%, 29.1% and 53.7% in the single 5 mg/kg, 10 mg/kg and 15 mg/kg cohorts,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data from the FREEDOM study informed the design of FREEDOM2, which has received regulatory clearance in Canada, the United Kingdom, South Korea, Australia, and New Zealand. The FREEDOM2 study remains on partial clinical hold in the U.S. and we continue to work with the FDA to address questions raised by the FDA as quickly as possible. FREEDOM2 is a Phase 2 randomized, double-blind, placebo-controlled MAD study of PGN-EDODM1 in DM1 patients. FREEDOM2 is designed to assess PGN-EDODM1’s safety and tolerability, splicing correction and functional outcome measures in DM1 patients. We reported topline results from the 5 mg/kg cohort in the FREEDOM2 study where PGN-EDODM1 was generally well-tolerated, with no serious adverse events (SAEs), all related treatment emergent adverse events (TEAEs) reported as mild, all non-related TEAEs reported as mild or moderate, and no signs of cumulative toxicity. Such results also demonstrated a mean splicing correction of 7.3%, compared to 6.8% in placebo-treated patients. However, excluding one outlier patient, patients showed a mean splicing correction of 22.9% as the outlier patient exhibited a worsening in splicing correction (70.8%), reducing the overall group mean to 7.3%. Middle finger vHOT in the treatment group in this cohort showed a positive trend of improvement versus a worsening observed in the placebo group with both returning to baseline at the last assessment. The FREEDOM2 study has completed enrollment of the 10 mg/kg dose cohort with seven of eight patients having completed dosing, and we expect to report data from this cohort in November, 2026. Furthermore, based on the review of available safety data from the 10 mg/kg dose cohort of the FREEEDOM2 study, an independent Data and Safety Monitoring Board, or DSMB, recommended advancing the FREEDOM2 trial into the third and highest dose cohort at 12.5 mg/kg; results from the 12.5 mg/kg cohort of FREEDOM2 are expected in the first half of 2027. The DSMB also approved dose escalation in the open-label extension study, or OLE, from 5 mg/kg to 10 mg/kg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granted both orphan drug designation and Fast Track designation for PGN-EDODM1 for the treatment of DM1 and the EMA has also granted orphan medicinal product designation to PGN-EDODM1.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 ATM Program, Follow-on Offerings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closed our initial public offering, or IPO, in which we sold an aggregate of 9,000,000 shares of common stock at a public offering price of $12.00 per share for gross proceeds of $108.0 million. In connection with the IPO, we granted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underwriters a 30-day option to purchase 1,350,000 additional shares of common stock, which they exercised in part to purchase 1,238,951 additional shares of common stock for gross proceeds of $14.9 million. We received approximately $122.9 million in gross proceeds and $110.2 million in net proceeds in the IPO, after deducting underwriters’ fees and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consummation of the IPO, all 12,546,805 outstanding shares of our redeemable convertible preferred stock, and 35,529 preferred stock warrants that were exercised on May 4, 2022, converted into 12,359,856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5, 2024, we issued and sold 1,000,000 shares of common stock at a purchase price of $10.00 per share under our at-the-market offering program, or ATM program, pursuant to an At-the-Market Equity Offering Sales Agreement, or Sales Agreement, with Stifel, Nicolaus &amp; Company, Incorporated, or Stifel, resulting in net proceeds of $9.9 million. On February 9, 2024, we issued and sold 7,530,000 shares of common stock at a purchase price of $10.635 per share, which was the closing sale price of our common stock on the Nasdaq Global Select Market on February 6, 2024, in an underwritten follow-on offering, or the 2024 Offering. The 2024 Offering resulted in net proceeds of $76.4 million after deducting underwriters' fees of $3.7 million. Net proceeds from the ATM program and 2024 Offering, after deducting underwriters’ fees and costs of the offerings, were $86.3 million. During the six months ended June 30, 2026, the Company sold 237,500 shares of common stock under the Sales Agreement resulting in net proceeds of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26, 2025, we issued and sold 31,250,000 shares of common stock at a purchase price of $3.20 per share in an underwritten public offering, or the 2025 Offering. Pursuant to the underwriting agreement, we granted underwriters a 30-day option to purchase up to an additional 4,687,500 shares of common stock at a price of $3.20 per share which was exercised in full on September 25, 2025. The 2025 Offering resulted in net proceeds of $107.6 million after deducting underwriters' fees of $6.9 million and offering expenses of $0.5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or other sources and have incurred significant operating losses and negative cash flows from our operations. Our primary uses of cash to date have been to fund our research and development activities, business planning, establishing and maintaining our intellectual property portfolio, acquiring and developing product and technology rights, hiring personnel, leasing premises and associated capital expenditures, raising capital, and providing general and administrative support for these operations. To date, we have funded our operations primarily through private placements of our convertible preferred stock and proceeds from our IPO, the ATM program, the 2024 Offering, and the 2025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in each year since our inception. Our net losses were $35.6 million and $53.3 million for the six months ended June 30, 2026 and June 30, 2025, respectively. As of June 30, 2026, we had cash, cash equivalents, and marketable securities of $117.2 million. As of June 30, 2026, we had an accumulated deficit of $396.7 million. Notwithstanding our decision to cease our research and development efforts in DMD, which we announced on May 28, 2025, we expect our expenses and operating losses will continue as we conduct our ongoing preclinical studies and current and planned clinical trials of PGN-EDODM1, continue our research and development activities, utilize third parties to manufacture our product candidates and related raw materials, hire additional personnel, protect our intellectual property and incur additional costs associated with being a public company, including audit, legal, regulatory, and tax-related services associated with maintaining compliance with an exchange listing and SEC requirements, director and officer insurance premiums, and investor relations costs. In addition, we have several development, regulatory and commercial milestone payment obligations under our licensing arrangements. Our net losses may fluctuate significantly from quarter-to-quarter and year-to-year, depending on the timing of our preclinical studies, current and planned clinical trials, manufacturing campaigns and our expenditures on other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will be sufficient to fund our currently planned operations into the fourth quarter of 2027. We do not expect to generate any revenues from product sales unless and until we successfully complete development and obtain regulatory approval for one or more of our product candidates, which will not be for at least the next several years, if ever.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research and development expenses have primarily consisted of external and internal costs associated with our research and development activities, including our discovery and research efforts, the development of our proprietary EDO platform, and the preclinical and clinical development of our product candidates. Our research and development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expenses, including expenses incurred under arrangements with third parties, such as clinical research organizations, or CROs, contract development manufacturing organizations, or CDMOs, consultants and our scientific advisors;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costs, including salaries, cash incentive compensation, payroll taxes, employee benefits, and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for laboratory supplies and materials and reagents for chemical synthesis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for rent and maintenance of facilities, insurance, and other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are recognized as incurred and payments made prior to the receipt of goods or services to be used in research and development activities are recorded as prepaid expenses until the goods or services are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(in thousands) summarizes our research and development expenses for the three and six months ended June 30, 2026 and June 30, 2025. The direct external development program expenses reflect external costs attributable to our clinical development candidates and preclinical candidates selected for further development. Our internal resources, personnel and infrastructure are not directly tied to any one research or drug discovery program and are deployed across multiple programs. As such, we do not track internal expenses on a program-specific basis. </w:t>
      </w:r>
    </w:p>
    <w:tbl>
      <w:tblPr>
        <w:tblW w:w="10042" w:type="dxa"/>
        <w:jc w:val="left"/>
        <w:tblInd w:w="0" w:type="dxa"/>
        <w:tblLayout w:type="fixed"/>
        <w:tblCellMar>
          <w:top w:w="28" w:type="dxa"/>
          <w:left w:w="28" w:type="dxa"/>
          <w:bottom w:w="28" w:type="dxa"/>
          <w:right w:w="28" w:type="dxa"/>
        </w:tblCellMar>
      </w:tblPr>
      <w:tblGrid>
        <w:gridCol w:w="4881"/>
        <w:gridCol w:w="146"/>
        <w:gridCol w:w="211"/>
        <w:gridCol w:w="676"/>
        <w:gridCol w:w="146"/>
        <w:gridCol w:w="146"/>
        <w:gridCol w:w="211"/>
        <w:gridCol w:w="676"/>
        <w:gridCol w:w="146"/>
        <w:gridCol w:w="146"/>
        <w:gridCol w:w="211"/>
        <w:gridCol w:w="676"/>
        <w:gridCol w:w="146"/>
        <w:gridCol w:w="146"/>
        <w:gridCol w:w="211"/>
        <w:gridCol w:w="676"/>
        <w:gridCol w:w="5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PGN-EDODM1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PGN-EDO51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 and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FREEDOM clinical trial of our investigational drug candidate, PGN-EDODM1, has completed and we continue to conduct the ongoing Phase 2 FREEDOM2 and Open Label Extension clinical trials. On May 28, 2025, we announced that we decided to voluntarily discontinue development of PGN-EDO51 and have recently substantially completed the wind-down of DMD-related research and development activities. Research and development expenses for our lead program can be variable quarter-over-quarter due to the timing of manufacturing campaigns, which are accounted for under the percentage of completion method. The process of conducting preclinical studies and clinical trials necessary to obtain regulatory approval is costly and time consuming. We may never succeed in achieving marketing approval for our remaining clinical stage product candidate or any new product candidates we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timelines and costs associated with research and development activities are uncertain and can vary significantly for our product candidate and development program due to the inherently unpredictable nature of preclinical and clinical development. We previously announced our decision to focus our development efforts on PGN-EDODM1, and to cease development of our DMD-related programs, and may make further determinations as to which programs in our research and development pipeline to pursue and how much funding to direct to each program. We will need to raise substantial additional capital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development costs may vary significantly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of clinical trials, the timing and costs, if any, associated with resolving clinical or partial clinical holds, animal and other preclinical studies and IND- or clinical trial application, or CTA-enabling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manufacturing our product candidates and the cost and timing of our manufacturing campaigns;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products if any receive regulatory approval.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cash incentive compensation, payroll taxes, employee benefits, and stock-based compensation charges for those individuals in executive, finance, facility operations, and other administrative functions. Other significant costs include legal fees relating to intellectual property and corporate matters, professional fees for audit, accounting and consulting services, and insurance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general and administrative expenses will remain consistent to support our public company operating expenses associated with audit, legal, regulatory, and tax-related services associated with maintaining compliance with our exchange listing and SEC requirements, director and officer insurance premiums, and investor relations.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our cash equivalents and marketable securities.</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Components of other income (expense) relate to realized and unrealized gains and losses on currency revaluation.</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tax expense for state taxes on interest income generated from the Company's cash equivalents and marketable securities. We have not recorded a U.S. provision for federal or state income taxes as we have no revenue and have incurred losses since inception.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June 30, 2025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46"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96"/>
        <w:gridCol w:w="889"/>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by $5.9 million from $18.4 million for the three months ended June 30, 2025, to $12.5 million for the three months ended June 30, 2026. This was primarily attributable to a $2.3 million decrease in clinical trial expense as, prior to the discontinuation of our DMD program in late May 2025, we had two programs in clinical trials during part of the second quarter of the prior year. Additionally, there was a $0.7 million charge taken during the second quarter in the prior year for estimated wind-down costs for the two clinical trials for PGN-EDO51. The decrease was additionally driven by a $2.2 million decrease in manufacturing costs related to the timing of manufacturing campaigns, a $1.1 million decrease in personnel-related costs, and a $0.7 million decrease related to a non-cash charge taken during the prior year associated with the impairment of unused lab equipment. These decreases are partially offset by a $0.4 million increase in consulting expense.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$0.9 million from $5.5 million for the three months ended June 30, 2025, to $6.4 million for the three months ended June 30, 2026. The increase was primarily driven by an increase of $0.7 million in personnel-related costs, including $0.6 million in stock-based compensation expense.</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was $1.1 million for the three months ended June 30, 2026 and $0.8 million for the three months ended June 30, 2025. Interest income is earned on the Company's cash equivalents and marketable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$16,000 for the three months ended June 30, 2026 for state taxes on interest income generated from the Company's cash equivalents and marketable securities. Income tax expense was nil for the three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June 30, 2025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46"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64"/>
        <w:gridCol w:w="92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by $18.2 million from $43.8 million for the six months ended June 30, 2025, to $25.5 million for the six months ended June 30, 2026. This was primarily attributable to a $11.9 million decrease in manufacturing costs related to the timing of manufacturing campaigns, a $3.5 million decrease in personnel-related costs and a $0.7 million decrease related to a non-cash charge taken during the prior year associated with the impairment of unused lab equipment. The decrease was additionally driven by a $2.6 million decrease in clinical trial expense as, prior to the discontinuation of our DMD program in late May 2025, we had two programs in clinical trials during the first half of the prior year, and there was a $0.7 million charge taken during the second quarter in the prior year for estimated wind-down costs for the two clinical trials for PGN-EDO51. These decreases are partially offset by a $0.5 million increase in consulting expense.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$0.9 million from $11.5 million for the six months ended June 30, 2025, to $12.4 million for the six months ended June 30, 2026. The increase was primarily driven by an increase of $0.5 million in personnel-related costs.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was $2.3 million for the six months ended June 30, 2026 and $2.0 million for the six months ended June 30, 2025. Interest income is earned on the Company's cash equivalents and marketable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$31,000 for the six months ended June 30, 2026 for state taxes on interest income generated from the Company's cash equivalents and marketable securities. Income tax expense was nil for the six months ended June 30, 2025.</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in January 2018, we have funded our operations primarily through the sale of our common stock and convertible preferred stock. We received aggregate gross proceeds of $163.9 million from these sales prior to our IPO. Additionally, in May 2022, we received gross proceeds from our IPO of $122.9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 2023, we filed a shelf registration statement on Form S-3 with the SEC, which covers the offering, issuance and sale of an amount up to $300.0 million in the aggregate of shares of our common stock, preferred stock, debt securities, warrants, and/or units or any combination thereof, which was declared effective on June 16,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2023, we filed a prospectus supplement and entered into the Sales Agreement with Stifel, as sales agent, which provides for the issuance and sale by us of up to $100.0 million of shares of common stock from time to time under the ATM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program. On February 5, 2024, we issued and sold 1,000,000 shares of common stock at a purchase price of $10.00 per share under the ATM program, resulting in net proceeds of $9.9 million. During the six months ended June 30, 2026, the Company sold 237,500 shares of common stock under the Sales Agreement resulting in net proceeds of $1.5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9, 2024, we issued and sold 7,530,000 shares of common stock in the 2024 Offering at a purchase price of $10.635 per share, resulting in net proceeds of $76.4 million after deducting underwriters’ fees and offering costs of $3.7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28, 2024, we filed a second shelf registration statement on Form S-3 with the SEC, which covers the offering, issuance and sale of an amount up to $250.0 million in the aggregate of shares of our common stock, preferred stock, debt securities, warrants, and/or units or any combination thereof, which was declared effective on July 8,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26, 2025, we issued and sold 31,250,000 shares of common stock at a purchase price of $3.20 per share in the 2025 Offering. Underwriters exercised their option to purchase an additional 4,687,500 shares of common stock at a price of $3.20 per share on September 25, 2025. The 2025 Offering resulted in net proceeds of $107.6 million after deducting underwriters' fees of $6.9 million and offering expenses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18, 2026, we filed a shelf registration statement on Form S-3 with the SEC, which covers the offering, issuance and sale of an amount up to $400.0 million in the aggregate of shares of our common stock, preferred stock, debt securities, warrants, and/or units or any combination thereof, which was declared effective on May 21, 2026. Also on May 16, 2026, we filed a prospectus supplement and entered into the Sales Agreement with Stifel, as sales agent, which provides for the issuance and sale by us of up to $100.0 million of shares of common stock from time to time under the ATM program.</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$117.2 million. We believe that our existing cash, cash equivalents, and marketable securities will be sufficient to fund our currently planned operations into the fourth quarter of 2027. However, our forecast for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costs and results of preclinical and clinical development for PGN-EDODM1, any additional product candidates we may develop and any new indications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costs, timing and outcome of regulatory review of PGN-EDODM1, any additional product candidates we may develop and any new indications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identification of additional research programs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scope of the continued development of our EDO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applications for patents, maintaining and enforcing our intellectual property rights and defending any intellectual property-related claims, including claims of infringement, misappropriation or other violations of third-party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product candidate that receives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satisfying any post-marketing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if marketing approval is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operational, financial and management information systems and associated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associated costs in connection with any acquisition of in-licensed products, intellectual property and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drug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our drug candidates even if we would otherwise prefer to develop and market such drug candidates ourselves.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for the six months ended June 30, 2026 and June 30, 2025 (in thousands): </w:t>
      </w:r>
    </w:p>
    <w:tbl>
      <w:tblPr>
        <w:tblW w:w="77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6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net cash used in operating activities was $34.2 million resulting from our net loss of $35.6 million and changes in our operating assets and liabilities of $5.6 million, partially offset by non-cash adjustments of $6.9 million. The net changes in our operating assets and liabilities were primarily due to a decrease of $4.0 million in accrued expenses. The change was further driven by a decrease in operating lease liabilities of $1.6 million. The non-cash adjustments included $6.2 million of stock-based compensation, $0.6 million of depreciation expense, $1.9 million of amortization and interest accretion on our operating lease, and $1.7 million of amortization of discounts on our marketable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2025, net cash used in operating activities was $46.5 million resulting from our net loss of $53.3 million and changes in our operating assets and liabilities of $1.2 million, partially offset by non-cash adjustments of $7.9 million. The net changes in our operating assets and liabilities were primarily due to a decrease in operating lease liabilities of $1.5 million. The change was further driven by a decrease in accounts payable of $0.9 million, an increase in accrued expenses of $0.5 million and a decrease in prepaids and other current assets of $0.7 million. The non-cash adjustments included $5.8 million of stock-based compensation, $0.7 million of depreciation expense, $1.2 million of amortization of discounts on our marketable securities, and $1.9 million of amortization and interest accretion on our operating lease. Additionally, there was a non-cash adjustment of $0.7 million related to the impairment of unused lab equipment.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was $5.0 million resulting from $81.9 million in purchases of marketable securities partially offset by $77.0 million in maturities of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provided by investing activities was $32.1 million resulting from $39.0 million in maturities of marketable securities partially offset by $6.7 million in purchases of marketable securities and $0.2 million in purchases of property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net cash provided by financing activities was $1.5 million resulting primarily from proceeds from the sale of shares of common stock under the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2025, net cash provided by financing activities was $0.1 million of proceeds from the purchase of shares under employee equity plans.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described in our financial statements and the related notes and other financial information included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3_quantitative_and_qualitative"/>
      <w:bookmarkEnd w:id="10"/>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$117.2 million in cash, cash equivalents, and marketable securities, consisting of cash in a readily available checking account and U.S. treasury-backed money market funds. Our primary exposure to market risk is interest income sensitivity, which is affected by changes in the general level of U.S. interest rates. However, because of the short-term maturities of our investments, we believe a hypothetical 100 basis point increase or decrease in interest rates during any of the periods presented would not have had a material impact on our financial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us to concentrations of credit risk, consist of cash and money market accounts. As of June 30, 2026, our cash and money market accounts were held by three financial institutions in the U.S. At times, our deposits held in the U.S. may exceed the respective insured limits of the Federal Depository Insurance Corporation and Financial Services Compensation Scheme. </w:t>
      </w:r>
    </w:p>
    <w:p>
      <w:pPr>
        <w:pStyle w:val="TextBody"/>
        <w:bidi w:val="0"/>
        <w:spacing w:before="24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or 15d-15(e) under the Exchange Act) that are designed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2026, our disclosure controls and procedures were effective at the reasonable assurance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required to maintain internal controls over financial reporting (as defined in Rules 13a-15(f) or 15d-15(f) under the Exchange Act) that are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controls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As of June 30, 2026, we were not a party to any material legal proceedings.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i/>
          <w:color w:val="000000"/>
          <w:sz w:val="20"/>
        </w:rPr>
        <w:t>Investing in our common stock involves a high degree of risk. You should carefully read and consider all of the risks described below, as well as the other information in this Form 10-Q, including our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We are substantially dependent on the success of our lead product candidate, PGN-EDODM1. If we are unable to complete development of, obtain approval for and commercialize PGN-EDODM1 in a timely manner or at all, our business will be harmed.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 Our ability to generate revenue from product sales and achieve profitability will depend on our ability, alone or with collaborators, to successfully complete the development of, and obtain the regulatory approvals necessary to commercialize, PGN-EDODM1, our lead product candidate, and any future product candidates we may develop. As a result, we currently intend to devote a substantial portion of our resources and business efforts to the continued clinical development of PGN-EDODM1. The success of PGN-EDODM1, and any future product candidates we may develop, will depend on several factors,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successful completion of clinical trials of PGN-EDODM1 on a timely basis, including our ongoing FREEDOM2 clinical trial and any subsequent studies that may be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outcome of discussions with the U.S. Food and Drug Administration, or the FDA, relating to the partial clinical hold placed on the FREEDOM2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any adverse events, or AEs, observed in PGN-EDODM1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establishing relationships with contract research organizations, or CROs, and clinical trial sites for the clinical development of PGN-EDODM1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conduct and completion of clinical trials in compliance with applicable Good Clinical Practice, or GCP, and Good Laboratory Practice, or GLP,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demonstration of efficacy, safety and tolerability profiles that are acceptable to the U.S. Food and Drug Administration, or the FDA, the European Medicines Agency, or the EMA, or other comparable foreign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extent of any post-marketing approval commitments that may be required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of existing, or establishment of new, supply arrangements with third-party suppliers and manufacturers to support the clinical development of PGN-EDODM1;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of existing, or establishment of new, scalable commercial manufacturing arrangements with third-party manufacturers to produce finished product suitable for commercial sale, if PGN-EDODM1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acceptance by patients, physicians and the broader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adequate reimbursement from third-party payors, and patients’ willingness to pay out-of-pocket in the absence of such coverage;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other therapies, including those that may be further advanced in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favorable terms in any collaboration, licensing or other strategic arrangements and perform our obligations under such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protect, enforce and defend our intellectual property portfolio in the United States and internationally.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do not have complete control over many of these factors, including aspects of clinical development and the regulatory review process, the actions of regulatory authorities, potential challenges to our intellectual property rights, and the manufacturing, commercialization and distribution activities of third-party collaborators, if any. If we are not successful in addressing one or more of these factors in a timely manner or at all, we could experience significant delays or be unable to successfully commercialize PGN-EDODM1, which would materially harm our business, financial condition and prospects. If we do not receive marketing approval for PGN-EDODM1, we may not be able to continue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our inception, have no products approved for sale and we expect to incur losses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Our net losses were $35.6 million and $53.3 million for the six months ended June 30, 2026 and June 30, 2025, respectively. As of June 30, 2026, we had an accumulated deficit of $396.7 million. To date, we have financed our operations primarily with the proceeds raised from the sale of our convertible preferred stock in private placements and common stock in our IPO and our equity offerings in 2024 and 2025, described below. We have devoted substantially all of our financial resources and efforts to research and development activities, manufacturing, business planning, establishing and maintaining our intellectual property portfolio, acquiring and developing product and technology rights, hiring personnel, leasing premises and associated capital expenditures, raising capital, and providing general and administrative support for these operations. We are still in the early stages of development of our programs and currently only have one product candidate advancing into clinical development. We expect to continue to incur significant expenses and operating losses for the foreseeable future. Our operating expenses and net losses may fluctuate significantly from quarter to quarter and year to year. We anticipate that our expenses will increase substantially if and as we: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advance our PGN-EDODM1 program in DM1 through clinical development, including if enrollment for the FREEDOM2 study takes longer than anticipated or if we are unable to obtain clearance to initiate sites in additional jurisdictions (such as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new safety or efficacy concerns which may arise as we analyze interim, “top-line,” or “preliminary” data from the ongoing FREEDOM2 clinical trial, or other planned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any additional product candidates we identify through our research programs into IND- or CTA-enabling studies and clinical trials following regulatory clearance to commence 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and expand the capabilities of our proprietary EDO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manufacturing sources for our product candidates and secure supply chain capacity to provide sufficient quantities for preclinical and clinical development and commercial supply as well as other CMC activities which support registration, particularly as we scale for an anticipate Phase 3 pivotal trial and look to secure secondary source suppliers for our drug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for any product candidates that successfully complete pivotal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expand, maintain, defend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regulatory and scientific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establish a sales, marketing and distribution infrastructure to commercialize any products for which we may obtain marketing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legal, compliance, financial and management information systems and personnel to support our research, product development and future commercialization efforts, as well as to support our operations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regulatory approval of, and are successful in commercializing our product candidate or any future product candidates, we will continue to incur substantial research and development and other costs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generated revenue from product sales and may never achieve or maintain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initiated a Phase 1 and a Phase 2 clinical trial for PGN-EDODM1, we expect that it will be many years, if ever, before we have a product candidate ready for commercialization. All of our other research programs, which are currently paused, are nevertheless in the research or preclinical stage of development, and their risk of failure is therefore particularly high.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marketing approval for our product candidates, most importantly PGN-EDODM1, including initiating, completing, and funding a large Phase 3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(or securing third-party manufacturers to manufacture), marketing and selling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clearance to commence clinical trials and initiating and successfully completing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product candidates and completing preclinical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any products for which we obtain regulatory approval as a viable treatment option;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satisfying any post-marketing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only in the preliminary stages of some of these activities. We may never succeed in these activities and, even if we do, may never generate revenues that are significant enough to achieve profitability. Because of the numerous risks and uncertainties associated with product development, we are unable to accurately estimate or know the nature, timing or costs of the efforts that will be necessary to complete the preclinical and clinical development and commercialization of our product candidates or when, or if, we will be able to generate revenues or achieve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the nature of the competition in such market,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you to lose all or part of your investment.</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raise substantial additional funding. If we are unable to raise substantial additional funding when needed, we could be forced to delay, scale back or discontinue our product development programs or future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expenses to increase substantially in connection with our ongoing activities, particularly as we identify, continue the research and development of, continue preclinical testing and initiate clinical trials of, arrange for the manufacturing of, and potentially seek marketing approval for our product candidates that successfully complete clinical testing. To date, we have completed a Phase 1 clinical trial for PGN-EDODM1, and are conducting a Phase 2 clinical trial as well as an open label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extension study for PGN-EDODM1. We will require significant additional funding to advance PGN-EDODM1 beyond the initial FREEDOM2 data readouts in 2026 to sustain our operations. We may be unable to raise additional funds, on favorable terms, if at all. If we are unable to raise such capital when needed, we will need to delay, reduce or terminate some or all planned activities to reduce costs and we may be required to initiate steps to cease operations and settle our liabilities. The failure to obtain sufficient additional funds on commercially acceptable terms to fund our operations and satisfy our obligations to creditors may have a material adverse effect on our business, results of operations and financial condition and jeopardize our ability to continue operations in the near-term.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we obtain marketing approval for PGN-EDODM1 or any other product candidate,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$117.2 million. Prior to our IPO in May 2022, we raised aggregate gross proceeds of $133.5 million from the private placement of convertible preferred stock. We raised aggregate gross proceeds of $122.9 million from our IPO. Subsequent to our IPO, in February 2024 we received net proceeds from our ATM program and 2024 Offering, after deducting underwriters' fees and costs of the offerings, of $86.3 million. In September 2025, we completed a follow-on public offering, or the 2025 Offering, which resulted in net proceeds of $107.6 million after deducting underwriters' fees and offering expenses. During the six months ended June 30, 2026, we sold 237,500 shares of common stock under the Sales Agreement resulting in net proceeds of $1.5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including continued momentum of enrollment in our FREEDOM2 trial, costs and results of preclinical and clinical development for PGN-EDODM1, including the nature and size of further clinical trials for the development of PGN-EDODM1 such as a Phase 3 pivotal trial, and any additional product candidates we may develop or any new indications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costs, timing and outcome of regulatory review of PGN-EDODM1 and any additional product candidates we may develop or any new indications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manufacturing activities, particularly as we scale for an anticipated Phase 3 pivotal trial and look to secure secondary source suppliers for our drug substance;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identification of additional research programs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scope of the continued development of our EDO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applications for patents, maintaining and enforcing our intellectual property rights and defending any intellectual property-related claims, including claims of infringement, misappropriation or other violations of third-party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product candidate that receives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satisfying any post-marketing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clinical stage product candidate if marketing approval is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operational, financial and management information systems and associated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associated costs in connection with any acquisition of in-licensed products, intellectual property and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Developing our lead product candidate PGN-EDODM1, identifying other potential product candidates and conducting preclinical testing and clinical trials are time-consuming, expensive and uncertain processes requiring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additional fundraising efforts may divert our management from their day-to-day activities, which may adversely affect our operations. We cannot be certain that additional funding will be available on acceptable terms, when needed or at all.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including PGN-EDODM1 or the commercialization of any such product candidate, or be unable to expand our operations or otherwise capitalize on our business opportunities, as desired, and we may be required to initiate steps to cease operations, which could materially affect our business, financial condition and results of operations.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limited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commenced operations in 2018, have no products approved for commercial sale and have not generated any revenue from product sales. To date, our operations have been limited to organizing and staffing our company, business planning, executing collaborations, raising capital, licensing, conducting research activities, conducting preclinical studies of our programs and clinical trials of our product candidates, manufacturing drug substance and drug product for our clinical programs, filing and prosecuting patent applications and providing general and administrative support for these operations. We have completed a Phase 1 clinical trial and are conducting a Phase 2 clinical trial as well as an open label extension for PGN-EDODM1. All of our other research programs are paused and, nevertheless, are in the research or preclinical stage of development, and their risk of failure is high. We have not yet demonstrated our ability to successfully complete clinical trials consistently, obtain marketing approvals, manufacture product on a commercial scale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small, early-stage companies in rapidly evolving fields. If we do not address these risks successfully, our business will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our business grows, we may encounter unforeseen expenses, restrictions, difficulties, complications, delays and other known and unknown factors. We will need to continue to transition from a company with a research focus to a company capable of conducting development activities for multiple product candidates and then to a company supporting commercial activities. We may not be successful in such transitions. If we do not adequately address these risks and difficulties or successfully make such a transition, it could have a material adverse impact on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Discovery, Development, Preclinical and Clinical Testing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early in our development efforts, having conducted only two Phase 1 and three Phase 2 clinical trials since our inception and as a result it will be years before we commercialize a product candidate, if ever. If we are unable to advance our product candidates through preclinical studies and clinical trials, obtain marketing approval and ultimately commercialize them, or experience significant delays in doing so, our business will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early in our development efforts and have invested our research efforts to date in developing our EDO platform. Until May 2025, we had two product candidates in clinical trials —PGN-EDODM1 for DM1 and PGN-EDO51 for DMD. We have since voluntarily discontinued development of PGN-EDO51 and have substantially completed the wind-down of DMD-related research and development activities. We initiated a Phase 1 clinical trial, designated FREEDOM, for our product candidate, PGN-EDODM1, in December 2023 which was completed earlier this year. We are also conducting a Phase 2 clinical trial, FREEDOM2, in Canada, the U.K, South Korea, Australia and New Zealand, which has concluded dosing of the 5 mg/kg cohort with seven of eight patients having completed dosing in the 10 mg/kg cohort.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primarily focusing our efforts on the clinical development of PGN-EDODM1 and, accordingly, have not completed IND- or CTA-enabling activities for any other product candidates or advanced any additional product candidates into clinical trials. Our ability to generate product revenue, which we do not expect will occur for many years, if ever, will depend heavily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successful clinical development and eventual commercialization of our product candidates, which may never occur. We currently generate no revenue from sales of any product, and we may never be able to develop or commercialize a marketable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Commencing clinical trials in the U.S. is subject to authorization by the FDA of an IND and finalizing the trial design based on discussions with the FDA and other regulatory authorities. In the event that the FDA requires us to complete additional preclinical studies, or we are required to satisfy other FDA or other regulator requests prior to commencing clinical trials, the start of our clinical trials may be delayed. For instance, in May 2023, we announced that FDA had placed a clinical hold on our planned Phase 1 FREEDOM clinical trial of PGN-EDODM1 in the U.S. We submitted a response to the FDA and in October 2023, we announced that the FDA had lifted the clinical hold, allowing us to initiate FREEDOM in the U.S. However, in March 2026, we announced that we received notice of a partial clinical hold from the FDA based on previously submitted preclinical pharmacology and toxicology studies and we continue to work with the FDA to address questions raised by the FDA as quickly as possible. We may not be able to resolve the issues related to such partial clinical hold in a timely manner, or at all, which may negatively impact the PGN-EDODM1 program, including the FREEDOM2 enrollment timelines. Furthermore, in the future, the FDA or other regulatory authorities could disagree that we have satisfied their requirements to commence any clinical trial, including our FREEDOM2 study of PGN-EDODM1, or disagree with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CTAs in other countries, including Canada and countries in Europe. Moreover, regulatory authorities in other countries could request that we pause dosing or further enrollment in one or more of our ongoing studies based in whole or in part on a clinical hold or partial clinical hold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Commercialization of our product candidates will require preclinical and clinical development; regulatory approval; manufacturing supply, capacity and expertise; a commercial organization; and significant marketing efforts. The success of our current and future product candidates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successful completion of preclinical studies, including toxicology studies, biodistribution studies and minimally efficacious dose studies in animals,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clearance to initiate clinical trials under INDs, CTAs or comparable foreign applications that allow commencement of our planned clinical trials or future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initiation, enrollment and completion of clinical trials, including under the FDA’s Good Clinical Practice, or GCP, Good Laboratory Practice,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results from our clinical trials that support a finding of safety and effectiveness and an acceptable risk-benefit profile in the intended populations to the satisfaction of the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including the completion of any required post-marketing studies or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arrangements through our own facilities or with third-party manufacturers for clinical supply and, where applicable, commercial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maintenance, defense and enforcement of patent, trademark, trade secret and other intellectual property protection or regulatory exclusivity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launch of our product candidates, if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benefits and use of our product candidates, including method of administration,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competition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of a continued acceptable safety, tolerability and efficacy profile of our product candidates following marketing approval, including acceptable results from any post-approval studies or clinical trials agreed to by us or required by FDA or other regulatory authorities;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and maintenance of healthcare coverage and adequate reimbursement by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these factors are beyond our control and if we do not succeed in one or more of these factors in a timely manner or at all, we could experience significant delays or an inability to successfully commercialize any product candidates, which would materially harm our business. If we are unable to advance our product candidates to clinical development or successfully complete clinical trials, obtain regulatory approval and ultimately commercialize our product candidates, or experience significant delays in doing so, our business will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eligible patients in clinical trials, our ability to complete clinical trials may be adversely impacted.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particularly with respect to PGN-EDODM1, which is currently our only clinical development program. We may not be able to identify, recruit and enroll a sufficient number of eligible patients, or those with required or desired characteristics, to complete our clinical trials in a timely manner. Patient enrollment and trial completion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novel unproven approaches;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in particular for rare diseases such as the diseases on which we are initially focused,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including the clearance by FDA of clinical sites in the U.S. for the FREEDOM2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recruit clinical trial investigators of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monitor patients adequately during and after treatment;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outside of our control, such as the potential effects of any epidemics, pandemics or health crisis.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eligible patients for our clinical trials, including our ongoing FREEDOM2 trial for PGN-EDODM1,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enroll a sufficient number of eligible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the discovery and development of product candidates based on our EDO platform is unproven, and we may not be successful in our efforts to identify, discover or develop potential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products based on our proprietary EDO platform. Our current product candidates that have been developed through our EDO platform are peptide-conjugated oligonucleotides designed to have a disease-modifying impact on degenerative neuromuscular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lead product candidate is currently in clinical-stage development, while other past product candidate programs were in the research or preclinical stage of development. Thus, our approach to treating muscle disease is unproven; for example past efficacy and safety results observed in the PGN-EDODM1 program may not result in a favorable safety profile or efficacy results as future clinical studies readout. In the future, our research programs may fail to identify potential product candidates for clinical development for a number of reasons. Our research methodology may be unsuccessful in identifying potential product candidates and our potential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candidates may be shown to have harmful side effects in preclinical in vitro experiments or in vivo animal model studies, or in future clinical studies. In addition, our potential product candidates may not show promising signals of therapeutic effect in such experiments or studies, as was the case with PGN-EDO51, or they may have other characteristics that may make the product candidates impractical to manufacture, unmarketable or unlikely to receive marketing approval. Further, because all of our development programs are based on our EDO platform, adverse developments with respect to one of our programs may have a significant adverse impact on the actual or perceived likelihood of success and value of our other programs. In addition, we may be negatively impacted by the decision of other companies to discontinue development of products using technology similar to our technology. For example, during 2024, Sarepta Therapeutics, Inc., or Sarepta, announced that it was discontinuing its SRP-5051 peptide-linked phosphorodiamidate morpholino, or PMO, development program, based on the risk-benefit of the program, including some patients experiencing hypomagnesemia even after treatment with SRP-5051 was discontinued, feedback from the FDA, and the evolving therapeutic landscape for DMD.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advanced two product candidates, PGN-EDO51 and PGN-EDODM1, into the clinic, and completed a Phase 1 trial of PGN-EDO51 in healthy volunteers. However, the positive results we observed in our preclinical studies and in the completed Phase 1 trial of PGN-EDO51 were not repeated at the same level in our CONNECT1 Phase 2 clinical trial, and we decided to discontinue development of PGN-EDO51. Accordingly, the results observed in our preclinical and Phase 1 clinical studies of PGN-EDODM1 may not be repeated in our ongoing Phase 2 clinical study. For instance, although we were encouraged by the trends observed in initial splicing and functional outcome data in the FREEDOM study, in the multi-dose 5 mg/kg cohort of the FREEDOM2 study, the splicing correction results were 7.3% versus 12.7% in the 5 mg/kg cohort of the single dose phase 1 FREEDOM study. Moreover, regulatory authorities may disagree with the interpretation of data from our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are continuing to focus the majority of our efforts on the advancement of our program in DM1, our EDO platform may fail to yield additional product candidates for clinical development for a number of reasons, including those discussed in these risk factors. In addition: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assemble sufficient resources to acquire or discover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alternatives that render our potential product candidates obsolete or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candidates we develop may be covered by third parties’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candidates may, on further study, be shown to have harmful side effects, toxicities or other characteristics that indicate that they are unlikely to be products that will receive marketing approval and achieve market acceptance;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candidates may not be effective in treating their targeted diseases or disorders;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potential product candidate may change so that the continued development of that product candidate is no longer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potential product candidate may not be capable of being produced in commercial quantities at an acceptable cost,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pathway for a potential product candidate may be too complex and difficult to navigate successfully or economically.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identify and discover suitable product candidates for clinical development, this would adversely impact our business strategy and our financial position and share price and could potentially cause us to cease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Drug development is a lengthy and expensive process, and preclinical and clinical testing is uncertain as to the outcome. We may encounter substantial delays in the commencement, enrollment or completion of our clinical trials and may never advance to clinical trials, or we may fail to demonstrate safety and effectiveness to the satisfaction of applicable regulatory authorities, which could prevent us from advancing or commercializing our product candidates on a timely basis,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obtain regulatory clearance to commence clinical trials, and then conduct extensive clinical trials to demonstrate the safety and efficacy of product candidates in humans. To date, we have completed a Phase 1 clinical trial for PGN-EDODM1, and are conducting a Phase 2 clinical trial for PGN-EDODM1.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may fail to demonstrate that our product candidates are safe for humans and effective for indicated uses, and earlier results, both preclinical and clinical, may not be indicative of future clinical trial results. For example, in the case of PGN-EDO51, our product candidate for DMD, based on the levels of dystrophin protein measured in the 10 mg/kg cohort of CONNECT1,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a favorable emerging safety profile, we decided to voluntarily discontinue development of PGN-EDO51 and have substantially completed the wind-down of DMD-related research and development activities, including our research efforts in DMD relating to exons 44, 45 and 53. Even if our clinical trials are successful, changes in marketing approval policies during the development period, changes in or the enactment or promulgation of additional statutes, regulations or guidance, varying interpretations of clinical data or changes in regulatory review for each submitted product application may cause delays in the approval or rejection of an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we can commence clinical trials for a product candidate, we must complete extensive preclinical testing and studies that support clearance of our INDs, CTAs and other similar regulatory filings. We cannot be certain if the outcome of our preclinical studies and clinical trials will ultimately support further development of our product candidates, as was the case with PGN-EDO51 or future programs, or future regulatory approval and commercialization. Although we have completed a Phase 1 trial and are conducting a Phase 2 clinical trial of our second candidate, PGN-EDODM1, we cannot be certain of the outcome of our preclinical testing, and clinical studies for PGN-EDODM1 or any of our other product candidates and cannot predict whether the FDA, or comparable foreign regulatory authorities will accept our proposed clinical program for PGN-EDODM1, or whether the outcome of our preclinical testing and clinical studies will ultimately support the further development of PGN-EODM1 or any other product candidates we may develop. Conducting preclinical testing is a lengthy, time-consuming and expensive process. The length of time may vary substantially according to the type, complexity and novelty of the program, and often can be several years or more per program. In addition, the progress and timing of our preclinical studies, including pharmacology and toxicology studies, may be impacted by the limited supply of NHPs needed for such studies. As a result, we cannot be sure that we will be able to submit INDs, CTAs and other similar regulatory filings for our programs on the timelines we expect, if at all, and we cannot be sure that submission of such regulatory filings will result in the FDA, competent authorities of the EU member states, or comparable foreign regulatory authorities allowing clinical trials to begin, including in the case of our FREEDOM2 clinical study for PGN-EDODM1. For example, in March 2026, we announced that we received notice of a partial clinical hold from the FDA based on previously submitted preclinical pharmacology and toxicology studies. We are committed to working with the FDA to address their questions; however, we may not be able to resolve the issues related to such partial clinical hold in a timely manner, or at all, which may negatively impact the PGN-EDODM1 program, including the FREEDOM2 enrollment timelines. Furthermore, in May 2023, we announced that we received a clinical hold notice from the FDA regarding our IND application to initiate our Phase 1 FREEDOM study, and in June 2023, we provided an update on our plans with respect to this program. In October 2023, we announced that the FDA lifted the clinical hold on our Phase 1 FREEDOM study, allowing this study to proceed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product candidates are subject to continued preclinical safety studies, which may be conducted concurrently with our clinical testing. The outcomes of these safety studies may delay the launch of, or enrollment in clinical trials and could impact our ability to continue to conduct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events that may prevent successful or timely completion of clinical development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authorities on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opening clinical trial sites or obtaining required institutional review board, or IRB, or independent ethics committee approval, or the equivalent review groups for sites outside the U.S.,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the FDA to remove the partial clinical hold on PGN-EDODM1 or the imposition of further clinical holds by regulatory authorities as a result of a serious adverse events, manufacturing concerns, or after an inspection of our clinical trial operations or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observed in clinical trials, including failure to demonstrate statistical significance, which could lead us, or cause regulators to require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us, any CROs we engage or any other third parties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GCPs or those of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physicians to adhere to delivery protocols leading to variable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testing, validation, manufacturing and delivery of our product candidates to the clinical sites, including delays by third parties with whom we have contracted to perform certain of those functions;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contractors to comply with regulatory requirements or to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recruit patients to participate in a clinical trial, including as a result of competition with other pharmaceutical and biotechnology companies and the patient population size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having patients complete participation in a clinical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or patients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associated with a product candidate in development by another company, which are viewed to outweigh its potential benefits, and which may negatively impact the perception of our product due to a similarity in technology or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legal or regulatory regimes domestically or internationally related to patient rights and privacy;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diminished revenue potential of the program(s) due to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 and other applicable regulatory authorities’ legal requirements, regulations or guidelines, and are subject to oversight by these governmental agencies and IRBs or ethics committees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disruptions caused by the effects of any epidemics or pandemics may increase the likelihood that we encounter such difficulties or delays in initiating, enrolling, conducting or completing our planned and ongoing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inability to successfully complete preclinical studies and clinical trials, including in the case of the PGN-EDO51 program,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plan to continue to do for our product candidates, including PGN-EDODM1,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the results of clinical trials are inconclusive or if there are safety concerns or serious adverse events associated with our product candidates,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product candidates,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required to perform additional clinical trials to support approval or be subject to additional post-marketing testing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regulatory authorities withdraw, or suspend, their approval of the product or impose restrictions on its distribution in the form of a Risk Evaluation and Mitigation Strategy, or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the addition of labeling statements, such as warnings or contraindications;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each of the conditions for which we plan to develop or are developing product candidates is a rare genetic disease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or to try alternative therapies. Finally, we must compete with other companies with either approved therapies or investigational therapies in development for the conditions which we are developing product candidates for, which may further limit the pool of potential patients.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outcome of preclinical studies and earlier-stage clinical trials may not be predictive of future results or the success of later preclinical studies and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 the early stages of our programs and have completed a Phase 1 clinical trial and are conducting a Phase 2 clinical trial for our PGN-EDODM1 product candidate. We reported data from three cohorts of our Phase 1 trial, and from one cohort of our Phase 2 trial of PGN-EDODM1, but we have not completed IND- or CTA-enabling activities or advanced any other product candidates (except PGN-EDO51) into clinical development. As a result, our belief in the capabilities of our platform is based on early research, preclinical studies, and early data from our early-stage studies and clinical trials. However, the results of preclinical studies may not be predictive of the results of later preclinical studies or clinical trials, and the results of any early-stage clinical trials may not be predictive of the results of later clinical trials. For example, since PGN-EDO51 did not achieve target dystrophin levels in the CONNECT1 trial, we made the decision to discontinue development of our DMD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reported single-dose data for all of the planned cohorts (5,10 and 15 mg/kg) in the Phase 1 FREEDOM study. While we observed robust dose-dependent mean splicing correction at the 5, 10 and 15 mg/kg dose level in the FREEDOM study, we observed limited change in functional outcomes in all cohorts of the Phase 1 FREEDOM study after a single dose as well as in the lowest dose (5 mg/kg) of the multi-dose Phase 2 FREEDOM2 study. We believe robust splicing correction with PGN-EDODM1 has the potential to lead to meaningful functional improvements with repeat dosing over time, but this may not be the case. If we do not see functional improvements in the higher dose cohorts of the FREEDOM2 study, we may have to consider alternate dosing, lengthening the exposure to the drug candidate or increasing the number of patients in certain cohorts to properly assess optimal efficacy. Any such changes to our development strategy or a determination in the future that PGN-EDODM1 may not yield sufficient functional improvement would harm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group more favorably given this knowledge. The results from an open-label trial may not be predictive of future clinical trial results with any of our product candidates when studied in a controlled environment with a placebo or active control.</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preclinical studies or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and preliminary results should be viewed with caution until the final data are available. For example, based on preclinical, HV and early data in patients, we believed that with a longer treatment period and higher doses of PGN-EDO51, we could expect to see higher levels of exon skipped transcript potentially resulting in significant increases in dystrophin in our CONNECT1 Phase 2 trial. However, the data from the 10 mg/kg cohort of CONNECT1 demonstrated that PGN-EDO51 did not achieve target dystrophin levels, and we made the decision to discontinue development of our DMD programs. Additionally, although we were encouraged by the trends observed in initial splicing and functional outcome data in the FREEDOM study, in the multi-dose 5 mg/kg cohort of the FREEDOM2 study, the splicing correction results were 7.3% versus 12.7% in the 5 mg/kg cohort of the single dose phase 1 FREEDOM study.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could result in volatility in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PGN-EDODM1, or any of our future product candidates, cause undesirable side effects or have other unexpected adverse properties, such side effects or properties could delay or prevent the initiation or completion of clinical trials, prejudice regulatory approval, limit the commercial potential of such candidate or result in significant negative consequences following any potential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caused by PGN-EDODM1, or future product candidates, could cause us or regulatory authorities to interrupt, delay or halt clinical trials and could result in a more restrictive label or the delay or denial of regulatory approval by the FDA or other regulatory authorities. For instance, in March 2026, we announced that we received notice of a partial clinical hold from the FDA based on previously submitted preclinical pharmacology and toxicology studies. Although other oligonucleotide therapeutics have received regulatory approval, ours is a novel approach to oligonucleotide therapy. As a result, there is uncertainty as to the safety profile of our product candidates compared to more well-established classes of therapies, or oligonucleotide therapeutics on their own. Moreover, there have been only a limited number of clinical trials involving the use of peptide conjugated oligonucleotide therapeutics or our proprietary technology used in our EDO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following the recent unblinding of the single-ascending dose portion of the FREEDOM trial, analysis of a kidney safety composite measure biomarker was conducted, and, at the 10 and 15 mg/kg dose levels, transient biomarkers associated with tubular insult were noted, as well as the observation of a DLT being identified at the 15 mg/kg dose level. Furthermore, we continue to observe transient increases in albuminuria in certain patients. Although these laboratory findings resolved without medical treatment or intervention and were not associated with clinical symptoms, the clinical significance of these findings is not yet fully understood. As we continue dose escalation and multi-dose administration in the FREEDOM2 study, with seven of eight patients having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completed dosing doses in the 10 mg/kg cohort, we are monitoring safety results, including continuing to note transient increases in certain kidney function biomarkers, with a goal of determining the optimal dose in multi-dose cohorts in future clinical studies. Accordingly, we may observe additional renal effects, including more pronounced or persistent laboratory abnormalities, clinically symptomatic renal events, or other safety signals as the study continues. Given the stage of clinical development of PGN-EDODM1, there can be no assurance that PGN-EDODM1 will not cause undesirable side effects in patients with further dosing and dose escalation, including, for example, safety events similar to those observed in our studies with PGN-EDO51. If such events occur, we may be required to modify, suspend, or terminate clinical trials, reduce dosing, implement additional monitoring, or conduct additional preclinical studies, which could delay development, increase costs, or adversely affect the commercial prospects of PGN-EDODM1.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our Phase 1 and Phase 2 clinical trials of PGN-EDO51, we observed mild, transient, reversible changes in kidney biomarkers that resolved without intervention in all but one participant who experienced a non-life threatening serious adverse event and transient mild to moderate hypomagnesemia that resolved without intervention or with low-dose oral magnesium supplementation. One participant experienced a reduction of his estimated glomerular filtration rate, or eGFR, that a subsequent nuclear scan indicated was in the normal range. There were no treatment-related SAEs, and all treatment-related adverse events were mild. Despite what we believed to be a favorable emerging safety profile for PGN-EDO51, in May 2025, following a review of the dystrophin data from the 10 mg/kg cohort, we made the voluntary decision to cease development of PGN-EDO51.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observe additional safety or tolerability issues in ongoing or future clinical trials as we test our product candidates in larger populations, over longer durations, or with different dosing regimens. Historically, many third-party product candidates that initially showed promise in early-stage testing were later found to cause side effects that prevented further clinical development. It is possible that, if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our product candidates receive marketing approval, and we or others later identify undesirable side effects caused by treatment with such drug,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the drug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in the labeling, such as a contraindication or a boxed warning, or issue safety alerts, Dear Healthcare Provider letters, press releases or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or promotion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fines, injunctions or the imposition of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could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our lead product candidate or our other product candidates, if approved, and could significantly harm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program, product candidate or indication and fail to capitalize on programs,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are focusing the majority of our resources on one product candidate, PGN-EDODM1. As a result, we are delaying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increasing use of social media platforms presents new risks and challenges.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pharmaceutical companies’ clinical development activities, and we intend to utilize appropriate social media in connection with our development efforts. Additionally, patients may use social media channels to comment on their experience in an ongoing blinded clinical trial or to report an alleged adverse event. If such disclosures occur in the future in connection with any of our sponsored clinical trials,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or confidential information or negative or inaccurate posts or comments about us on any social networking website. In addition, we may encounter attacks on social media regarding our company, management or our product candidates, and fraudsters could and have attempted to illegally use our name on social media platforms to defraud the public. It is also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product candidates under an expanded access policy, our reputation may be negatively affected and our business may be harmed. If any of these events were to occur or we fail to comply with applicable regulations, we could incur liability, face regulatory actions or incur other harm to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trial and product liability lawsuits against us could divert our resources, could cause us to incur substantial liabilities and could limit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clinical trial and product liability exposure related to the testing of product candidates that have entered or eventually proceed to clinical trials, and we will face an even greater risk if we commercially sell any products that receive marketing approval. While we currently have only one product candidate in clinical development and none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may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costs to defend any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insurance coverage in place that we believe to be appropriate for our current phase of clinical development, but we may need to further increase this coverage for subsequent clinical trials, or if we commence commercialization of any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conducted, and may in the future conduct, certain clinical trials for our product candidates outside of the U.S. However, the FDA and comparable foreign regulatory authorities may not accept data from such trials, in which case our development plans will be delayed, which could materially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our first clinical trial in Canada, and we intend to continue to conduct one or more of our subsequent clinical trials for our product candidates outside the U.S., including our FREEDOM and FREEDOM2 clinical trials, each of which has or will have sites in multiple countries outside of the U.S. Currently, there are no U.S. sites opened in the FREEDOM2 due to the partial clinical hold of the FREEDOM2 trial in the U.S . Although the FDA may accept data from clinical trials conducted outside the U.S., acceptance of this data is subject to certain conditions imposed by the FDA. Where data from foreign clinical trials are intended to serve as the basis for marketing approval in the U.S.,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U.S. and not subject to an IND, the FDA generally does not provide advance comment on the clinical protocols for the studies, and therefore there is an additional potential risk that the FDA could determine that the study design or protocol for a non-U.S. clinical trial was inadequate, and require us to conduct additional clinical trials.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There can be no assurance the FDA will accept data from clinical trials conducted outside of the U.S. If the FDA does not accept data from our clinical trials of our product candidates, we would likely need to conduct additional clinical trials, which would be costly and time consuming and delay or permanently halt our development of our product candidates. Additionally, recent policy proposals in the U.S., if enacted in the future, may make acceptance by the FDA or inclusion in a marketing application of foreign data more difficult or costly.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clinical trials outside the U.S. also exposes us to additional risks, including risks associated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foreign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in medical practice and 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w:t>
      </w:r>
    </w:p>
    <w:p>
      <w:pPr>
        <w:pStyle w:val="TextBody"/>
        <w:bidi w:val="0"/>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and expect to continue to rely, on third parties to conduct some or all aspects of our product manufacturing, research and preclinical and clinical testing, and these third parties may not perform satisfactorily. If we need to replace one or more of these third parties, our development plans may be significantly delayed and we may expend more funds than currently planned.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expect to independently conduct all aspects of our product manufacturing, research and preclinical and clinical testing. We currently rely, and expect to continue to rely, on third parties with respect to many of these items, including CDMOs, for the manufacturing of any product candidates we test in preclinical or clinical development, as well as CROs for the conduct of our animal testing and research and for the conduct of our current and planned clinical trials. Any of these third parties may terminate their engagements with us at any time. If we need to enter into alternative arrangements, it could delay our product development activities and significantly increase our expenses, which could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responsibility to ensure compliance with all required regulations and study protocols. For example, we will remain responsible for ensuring that each of our IND- and CTA-enabling studies and clinical trials are conducted in accordance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study plan and protocols.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conditions that comply with the FDA’s current Good Manufacturing Practices, or cGMPs. Our failure to comply with these regulations may require us to repeat clinical trials, which would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intend to design the preclinical studies and clinical trials for our product candidates, CROs will conduct some or all of the preclinical studies and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preclinical studies and clinical trials and may subject us to unexpected cost increases that are beyond our control.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and other third parties do not perform preclinical studies and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CTA and other similar regulatory filings and potential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are few CDMOs that have the capability to manufacture oligonucleotides and peptides, the key intermediates in the synthesis of the final active pharmaceutical ingredient, both of which are critical to the development and production of our product candidates. We are aware that one or more of our competitors are using either oligonucleotides, peptides, or both in their product candidates, and that they have engaged with many of these CDMOs, which may hinder our ability to also contract with those CDMOs. As a result, we may have difficulty finding and engaging sufficient third-party manufacturers to develop and manufacture our product candidates, which may affect our ability to conduct preclinical studies and clinical trials. Moreover, legislative proposals are pending that, if enacted, could negatively impact U.S. funding for certain biotechnology providers, including some of our vendors, that may have relationships with certain foreign governments or are viewed as posing a threat to national security. If certain of these vendors are unable to continue to provide services or we are unable to contract with such vendors, this could further constrain our ability to find and engage third-party manufacturers to develop and manufacture our product candidates, which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depend on a small number of third-party suppliers to supply the product candidates that we are evaluating in our research and development programs. The loss of these or future third-party suppliers, or their inability to provide us with sufficient supply,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and have no current plans to develop our own clinical or commercial-scale manufacturing capabilities. We rely on a small number of third-party suppliers for the manufacture and testing of the product candidates that we are evaluating in our research and development programs, including PGN-EDODM1. We expect to continue to depend on third-party suppliers for the manufacture of any product candidates we advance into preclinical and clinical development, as well as for commercial manufacture if those product candidates receive marketing approval. The facilities used by third-party manufacturers to manufacture our product candidates must be approved by the FDA, the EMA and any comparable foreign regulatory authority pursuant to inspections that will be conducted after we submit an NDA to the FDA or any comparable filing to the EMA or other foreign regulatory authority. We do not control the manufacturing process of, and are completely dependent on, third-party manufacturers for compliance with cGMP requirements for the manufacture of products. If these third-party manufacturers cannot successfully manufacture material that conforms to our specifications and the strict regulatory requirements of the FDA, the EMA or any comparable foreign regulatory authority, we may incur delays in our clinical trials or regulatory submissions, and they will not be able to secure and/or maintain regulatory approval for their manufacturing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no control over the ability of third-party manufacturers to maintain adequate quality control, quality assurance and qualified personnel. If the FDA, the EMA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seek to eventually establish our own manufacturing facility for the long-term commercial supply of our product candidates for which receive regulatory approval, if any.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or a third party’s failure to execute on our manufacturing requirements on commercially reasonable terms and in compliance with cGMP could adversely affect our business in a number of ways,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initiate or conduct preclinical studies or clinical trials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initiating or completing preclinical studies or clinical trials of product candidates or in submitting regulatory applications, or receiving marketing approvals, for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subjecting third-party manufacturing facilities or our manufacturing facilities to additional inspections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cease development or to recall batches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approval to market and commercialize any product, an inability to meet commercial demands for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manufacturers to comply with regulatory requirements and maintain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according to our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according to our schedule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or nonrenewal of the agreement by the third 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compete with third parties for access to manufacturing facilities, in particular for the manufacture of oligonucleotides. There are a limited number of manufacturers that operate under cGMP regulations and that might be capable of manufacturing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arrangements in place for redundant supply or a second source for all required raw materials. If our existing or future third-party manufacturers cannot perform as agreed, we may be required to replace such manufacturers and we may be unable to replace them on a timely basis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supply from one approved manufacturer is interrupted, there could be a significant disruption in supply. An alternative manufacturer would need to be qualified and authorized pursuant to a submission to our approved NDA or NDA supplement which could result in further delay. Further, we will also need to verify, such as through analytical comparability or clinical bridging studies, that any new or modified manufacturing processes will produce our product candidate according to the specifications previously submitted to the FDA, the EMA or comparable foreign regulatory authorities.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 candidates. We may be unsuccessful in demonstrating the comparability of clinical supplies to those previously allowed into clinical development by the FDA, the EMA or comparable foreign regulatory authorities which could require the conduct of additional studies or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Switching manufacturers may involve substantial costs and is likely to result in a delay in our desired clinical and commercial timelines. 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in December 2025, the National Defense Authorization Act for Fiscal Year 2026, or the NDAA, was enacted, which includes Section 851, commonly referred to as the “BIOSECURE Act.” The BIOSECURE Act restricts U.S. government agencies from procuring biotechnology equipment or services from, or entering into contracts with, entities that use biotechnology equipment or services from, designated “biotechnology companies of concern,” or BCCs, and from expending federal loan or grant funds for such equipment or services. We currently rely on third-party contract manufacturing organizations and other vendors located outside the United States, including WuXi AppTec which operates in China and manufactures our active pharmaceutical ingredient, or API, for PGN-EDODM1. While none of our vendors are currently listed as a BCC, in June 2026, WuXi AppTec was added to the Department of Defense’s Section 1260H list of Chinese military companies, which is one of two statutory pathways to BCC designation under the BIOSECURE Act; this means that WuXi AppTec is expected to be included in OMB’s initial BCC list, due no later than December 2026. WuXi AppTec has publicly challenged its 1260H designation, and that challenge remains pending. If our current or future vendors with which we work are designated as BCCs in the future,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subject to a grace period of 5 years during which time a company could continue to work with such restricted vendor. Although we currently have ongoing workstreams to secure a secondary source supplier of our API, any such transition could involve significant cost, operational complexity, regulatory risk, and delays, and alternative suppliers may not be available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third parties for the manufacture of any product candidates we develop may adversely affect our development programs and our ability to commercialize any products that receive marketing approval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on single-source suppliers for some of the components and materials used in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 suppliers for components and materials used in our product candidates, including the manufacturer for active pharmaceutical ingredient and finished product for PGN-EDODM1, are single-sourced.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active pharmaceutical ingredients and finished goods could expose us to several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disruptions in supply, price increases or late deliveries. There are, in general, relatively few alternative sources of supply for substitute components. These vendors may be unable or unwilling to meet our future demands for our clinical trials or commercial sales.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required to switch to a replacement supplier, the manufacture and delivery of our product candidates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In the event that we should depend on single-source suppliers, we would seek to maintain adequate inventory of the single source components and materials used in our products; however, any interruption or delay in the supply of components or materials, or our inability to obtain components or materials from alternate sources at acceptable prices in a timely manner, could impair our ability to meet the demand for our investigational medicines.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research, development and commercialization of certain of our product candidates. If any such collaborations are not successful, we may not be able to capitalize on the market potential of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our product candidates.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our research programs or our product candidates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would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 acquired by a third party having competitive products or different priorities, causing the emphasis on our product development or commercialization program under such collaboration to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certain circumstances,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affected product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Form 10-Q apply to the activities of our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 </w:t>
      </w:r>
    </w:p>
    <w:p>
      <w:pPr>
        <w:pStyle w:val="TextBody"/>
        <w:bidi w:val="0"/>
        <w:spacing w:before="360" w:after="283"/>
        <w:jc w:val="left"/>
        <w:rPr>
          <w:rFonts w:ascii="Times New Roman" w:hAnsi="Times New Roman"/>
          <w:sz w:val="20"/>
        </w:rPr>
      </w:pPr>
      <w:r>
        <w:rPr>
          <w:rFonts w:ascii="Times New Roman" w:hAnsi="Times New Roman"/>
          <w:b/>
          <w:i/>
          <w:color w:val="000000"/>
          <w:sz w:val="20"/>
        </w:rPr>
        <w:t>If conflicts arise between us and our potential collaborators,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us and our potential collaborators, the other party may act in a manner adverse to us and could limit our ability to implement our strategies. Our collaborators may develop, either alone or with others, products in related fields that are competitive with our product candidates that are the subject of these collaborations with us. Competing products, either developed by the collaborators or to which the collaborators have rights, may result in the withdrawal of support for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establish collaborations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development and research programs and the potential commercialization of our product candidates will require substantial additional cash to fund expenses. For some of our product candidates, we may decide to collaborate with other pharmaceutical and biotechnology companies for the development and potential commercialization of those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third-party vendors to provide certain licenses, products and services and our business and operations, including clinical trials, could be disrupted by any problems with our significant third-party vendors.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engage a number of third-party suppliers and service providers to supply critical goods and services, such as contract research services, contract manufacturing services and information technology services. Disruptions to the business, financial stability or operations of these suppliers and service providers, including due to strikes, labor disputes or other disruptions to the workforce, for instance, if, as a result of a pandemic or health epidemic,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 </w:t>
      </w:r>
    </w:p>
    <w:p>
      <w:pPr>
        <w:pStyle w:val="TextBody"/>
        <w:bidi w:val="0"/>
        <w:jc w:val="left"/>
        <w:rPr>
          <w:rFonts w:ascii="Times New Roman" w:hAnsi="Times New Roman"/>
          <w:sz w:val="20"/>
        </w:rPr>
      </w:pPr>
      <w:r>
        <w:rPr>
          <w:rFonts w:ascii="Times New Roman" w:hAnsi="Times New Roman"/>
          <w:b/>
          <w:color w:val="000000"/>
          <w:sz w:val="20"/>
        </w:rPr>
        <w:t>Risks Related to Regulatory Approval and Other Regulatory and Legal Compliance Matters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As an organization, we have only completed or initiated a small number of clinical trials and may be unable to do so for any of our other product candidates nor carry out or complete further studies for our lead candidate.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experience as a company in conducting, completing and managing the full suite of clinical trials necessary to obtain regulatory approvals, including approval by the FDA, the European Commission or comparable foreign regulatory authorities, or in obtaining approval of any of our product candidates. We are early in our development efforts for our product candidates. We have initiated a Phase 1 and a Phase 2 clinical trial for PGN-EDODM1. We will need to successfully complete preclinical activities and additional clinical trials, in order to obtain FDA, European Commission or comparable foreign regulatory approval to market PGN-EDODM1, and any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experience as a company in conducting, completing and managing the full suite of clinical trials necessary to obtain regulatory approvals, including approval by the FDA, the European Commission or comparable foreign regulatory authorities, or in obtaining approval of any of our product candidates. We are early in our development efforts for PGN-EDODM1. We have completed a Phase 1 and initiated a Phase 2 clinical trial for PGN-EDODM1. We will need to successfully complete IND- or CTA-enabling activities, early-stage, later-stage and pivotal clinical trials, in order to obtain FDA, European Commission or comparable foreign regulatory approval to market PGN-EDODM1,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initial observations of the preclinical and early clinical data with respect to PGN-EDODM1, we believe PGN-EDODM1 has the potential to lead to meaningful functional improvements with repeat dosing at 10 mg/kg or higher levels over time. However, our belief based on this data may be erroneous. There can be no assurance that our expectations of robust splicing correction and improved functional outcomes will be reflected in continued clinical evaluation of PGN-EDODM1 in DM1 patients, including in our ongoing FREEDOM2 MAD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completed a Phase 1 clinical trial for PGN-EDO51 a, completed a Phase 1 clinical trial for PGN-EDODM1, and have a Phase 2 clinical trial ongoing for PGN-EDODM1, we have not completed any additional clinical trials, and have limited experience as a company in preparing, submitting and prosecuting regulatory filings. In addition, we have had limited interactions with the FDA, the EMA and comparable foreign regulatory authorities and cannot be certain how many clinical trials of PGN-EDODM1, or any other product candidates will be required or how such trials should be designed. The FDA has previously provided feedback on our clinical trials for PGN-EDODM1. We may be unable to efficiently execute and complete necessary clinical trials for our product candidates in a way that leads to regulatory submission and approval of any of our product candidates, including potentially any accelerated approval. We may require more time and incur greater costs than our competitors and may not succeed in obtaining regulatory approvals of product candidates that we develop. Failure to commence or complete, or delays in, our current or planned clinical trials, could prevent us from or delay us in submitting NDAs for and commercializing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plan to seek approval from the FDA or comparable foreign regulatory authorities, where applicable, under accelerated approval pathways. We may fail to obtain approval under such accelerated approval pathways. Moreover, these pathways may not lead to a faster development, regulatory review or approval process and do not increase the likelihood that our product candidates will receive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plan to seek accelerated approval, if applicable, under the FDA’s accelerated approval pathway for our PGN-EDODM1 product candidate and may have a similar strategy with future product candidates. A product may be eligible for accelerated approval if it treats a serious or life-threatening condition, generally provides a meaningful advantage over available therapies,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demonstrates an effect 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disease and the availability or lack of alternative treatments.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(including commencing enrollment) prior to approval or within a specified time period after the date of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full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under the centralized procedure, the EMA’s Committee for Medicinal Products for Human Use may perform an accelerated assessment of a marketing authorization application. Applicants requesting an accelerated assessment procedure must justify that the product candidate is expected to be of major public health interest, particularly from the point of view of therapeutic innovation.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for PGN-EDODM1, we intend to seek feedback from the FDA or similar foreign regulatory authorities and will otherwise evaluate our ability to seek and receive accelerated approval. There can be no assurance that after our evaluation of the feedback and other factors we will decide to pursue or submit an NDA or similar application for accelerated approval or any other form of expedited development or review. Similarly, there can be no assurance that after subsequent FDA or similar foreign regulatory authorities feedback we will continue to pursue or apply for accelerated approval or any other form of expedited development or review, even if we initially decide to do so. Furthermore, if we decide to submit an application for accelerated approval or other expedited development or review, there can be no assurance that such submission or application will be accepted or that any expedited development or review will be granted on a timely basis, or at all, due, for example, to the fact that there may be newly approved therapeutic products on the market addressing DM1 at the time of submission of our application. The FDA or other comparable foreign regulatory authorities could also require us to conduct further studies prior to considering our application or granting approval of any type. A failure to obtain accelerated approval or any other form of expedited development or review for PGN-EDODM1 or any other product candidates would result in a longer time period to commercialization of such product candidate, would increase the cost of development of such product candidate, and would harm our competitive position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U.S., the EMA and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experience as a company in submitting and supporting the applications necessary to gain marketing approvals and may need to rely on third parties to assist us in this process. Securing regulatory approval requires the submission of extensive preclinical and clinical data and supporting information to the various regulatory authorities for each therapeutic indication to establish the product candidate’s safety and effectiveness. Securing regulatory approval also requires the submission of information about the product manufacturing process to, and inspection of manufacturing facilities by, the relevant regulatory authority.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candidates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Of the large number of products in development, only a small percentage successfully complete the FDA, EMA or foreign regulatory approval processes and are commercialized. Even if our product candidates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In February 2026, the former FDA Commissioner publicly indicated that a single adequate and well-controlled pivotal clinical trial supported by confirmatory evidence would be the FDA’s default standard moving forward for novel products, rather than two such trials; this statement was not a formal agency action. In June 2026, FDA issued revised draft guidance clarifying how sponsors can rely on one scientifically rigorous adequate and well-controlled clinical investigation with confirmatory evidence to satisfy the statutory substantial evidence of effectiveness standard. Additionally, in July 2026, in response to congressional inquiries, FDA indicated that informal statements, issued through journals or means other than formal notice and comment rule-making, are not reflective of official FDA policy and should not be interpreted as regulatory guidance. FDA retains broad discretion to require additional clinical data for any product candidate, including a second adequate and well-controlled clinical trial. The FDA, the EMA and comparable foreign regulatory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If we experience delays in obtaining approval or if we fail to obtain approval of our product candidates, the commercial prospects for those product candidates may be harmed, and our ability to generate revenues will be materially impaired.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 failure may result from a multitude of factors including flaws in trial design, dose selection, patient enrollment criteria and failure to demonstrate favorable safety or efficacy traits, and failure in clinical trials can occur at any stage. Companies in the drug development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is susceptible to varying interpretations, and regulators may not interpret our data as favorably as we do, which may further delay, limit or prevent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any foreign regulatory authority could delay, limit or deny approval of a product candidate for many reasons, including because the FDA or such other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disagree with the design or implementation of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not deem a product candidate to be safe or effective for its intended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determines that the product candidate does not have an acceptable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determine that adverse events experienced by participants in our clinical trials represent an unacceptable level of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determine that the population studied in the clinical trial may not be sufficiently broad or representative to assure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not accept clinical data from trials that are conducted at clinical facilities or in countries where the standard of care is potentially different from that of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disagree regarding the formulation, labeling and/or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not approve the manufacturing processes associated with a product candidate or may determine that a manufacturing facility does not have an acceptable compliance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change approval policies or adopt new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not file a submission due to, among other reasons, the content or formatting of the submission.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eventually complete clinical testing and receive approval of an NDA or foreign marketing application for any product candidates, the FDA, EMA or applicable foreign regulatory authority may grant approval or other marketing authorization contingent on the performance of costly additional clinical trials, including post-market clinical trials. The FDA, EMA or the applicable foreign regulatory authority also may approve or authorize for marketing a product candidate for a more limited indication or patient population that we originally request, and the FDA, EMA or applicable foreign regulatory authority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the U.S. does not mean that we will be successful in obtaining marketing approval of our product candidates in other jurisdictions. Failure to obtain marketing approval in foreign jurisdictions would prevent our product candidates from being marketed in such jurisdictions, which, in turn, would materially impair our ability to generate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 candidates in the European Union, or EU,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it is required that the product be approved for reimbursement before the product can be approved for sale in that country. We or these third parties may not obtain approvals from regulatory authorities outside the U.S. on a timely basis, if at all. Approval by the FDA does not ensure approval by the EMA or regulatory authorities in other countries or jurisdictions, and approval by one regulatory authority outside the U.S. does not ensure approval by regulatory authorities in other countries or jurisdictions or by the FDA. Furthermore, now that the U.K. is no longer part of the EU, a separate authorization is needed to market medicinal products in the U.K. We may not be able to file for marketing approvals and may not receive the necessary approvals to commercialize our medicines in any jurisdiction, which would materially impair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delay in obtaining, or an inability to obtain, any marketing approvals would prevent us from commercializing any product candidates in the U.K. and/or the EU and/or other foreign jurisdictions and restrict our ability to generate revenue and achieve and sustain profitability. If any of these outcomes occur, we may be forced to restrict or delay efforts to seek regulatory approval in the U.K. and/or the EU and/or other foreign jurisdictions for our product candidates, which could significantly and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one or more designations or expedited programs for one or more of our product candidates, but we might not receive such designations or be allowed to proceed on expedited program pathways, and even if we do and proceed on such expedited program pathways in the future, such designations or expedited programs may not lead to a faster development or regulatory review or approval process, and each designation does not increase the likelihood that any of our product candidates will receive marketing approval in the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received fast-track designation for PGN-EDODM1 for the treatment of DM1 and may seek fast-track designation for any other product candidates we develop. If a drug is intended for the treatment of a serious or life-threatening condition and nonclinical or clinical data for the drug demonstrates the potential to address an unmet medical need for such a condition, the drug sponsor may apply for fast-track designation. The FDA has broad discretion whether or not to grant this designation, so even if we believe a particular product candidate is eligible for this designation, we cannot assure you that the FDA would decide to grant it for any of our other product candidates. Even with fast-track designation, we may not experience a faster development process, review or approval compared to conventional FDA procedures. The FDA may withdraw fast-track designation if it believes that the designation is no longer supported by data from our clinical development program. Fast-track designation alone does not guarantee qualification for the FDA’s priority review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determines that a product candidate offers a treatment for a serious or life-threatening condition and, if approved, the product would provide a significant improvement in safety or effectiveness, the FDA may designate the product candidate for priority review. A priority review designation means that the goal for the FDA to review and take action on a marketing application for a new molecular entity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pursue orphan drug designation for certain of our product candidates, and we may not be able to obtain such designation, or obtain or maintain the benefits of such designation including orphan drug exclusivity, and even if we do, that exclusivity may not prevent regulatory authorities from approving other competing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the FDA granted orphan drug designation to PGN-EDODM1 for the treatment of DM1. We may seek orphan drug designation for any other product candidates we develop; however, we may never receive such designations. Under the Orphan Drug Act, the FDA may designate a product as an orphan drug if it is a drug or biologic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Orphan drug designation must be requested before submitting an NDA. A similar regulatory scheme governs orphan products in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In addition,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product for the same approved use or indication for seven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product, that exclusivity may not effectively protect the product from competition because different products can be approved for the same approved use or indication. In addition, even after an orphan drug is approved, the FDA can subsequently approve the same product for the same approved use or indication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marketing approval for any particular orphan indication due to the uncertainties associated with developing pharmaceutical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A marketing application for a product candidate with RPDD, if approved, may not meet the eligibility criteria for a Priority Review Voucher, or PRV, or the RPDD program may sunset before the FDA is able to consider eligibility for a voucher.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Designation of a drug as a product for a rare pediatric disease does not guarantee that a marketing application for such drug will meet the eligibility criteria for a rare pediatric disease PRV at the time the application is approved. Even if we receive RPDD from the FDA for one of our product candidates, we would need to request a rare pediatric disease PRV in the marketing application of that product candidate. The FDA may determine that any such marketing application, if approved, does not meet the eligibility criteria for a PRV. Under current law, after September 30, 2029, the FDA may not award any rare pediatric disease priority review vouchers, although the FDA’s authority to do so could be extended by Congress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designation for our EDO platform as a designated platform technology, but we might not receive such designation, and even if we do, such designation may not lead to a faster regulatory review or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designation for our EDO platform as a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EDO platform meets the criteria for such designation, the FDA may disagree and instead determine not to grant such designation. In addition, the receipt of such designation for a platform technology does not ensure that a drug will be developed more quickly or receive FDA approval. Moreover, the FDA may revoke a designation if the FDA determines that a designated platform technology no longer meets the criteria for such designation. For example, in July 2025, the FDA revoked Sarepta Therapeutics’ platform technology designation for AAVrh74 given new safety information suggested the preliminary evidence on which the designation was based was insufficient to demonstrate that its platform technology had the potential to be incorporated in, or utilized by, more than one drug without an adverse effect on safety.</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the EMA or a comparable foreign regulatory authority may not approve our current product candidate or any new product candidates derived from our platform. However, if the FDA, EMA or comparable foreign regulatory authority approves any of our product candidates, the manufacturing processes, labeling, packaging, distribution, adverse event reporting, storage, advertising, promotion and record keeping for the product will be subject to extensive and ongoing regulatory requirements. These requirements include submissions of safety and other post-marketing information and reports, conformance with applicable product tracking and tracing requirements,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and surveillance to monitor the safety and efficacy of the product. Additionally, under FDORA, sponsors of approved drugs and biologics must provide six months’ notice to the FDA of any changes in marketing status, or for discontinuing or interrupting supply of certain drugs, including the withdrawal of a drug, and failure to do so could result in a letter citing such failure to comply and public posting of such letter and redacted company response which could damage the company’s reputation.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or 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other regulatory enforcement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the EMA or comparable foreign regulatory authorities to approve pending applications or supplements to approved applications filed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FDA’s, EMA’s and other foreign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EMA and other foreign regulatory authorities closely regulate the post-approval marketing and promotion of medicines to ensure that they are marketed only for the approved indications and in accordance with the provisions of the approved labeling. The FDA, EMA and other foreign regulatory authorities impose stringent restrictions on manufacturers’ communications regarding off-label use. In particular, a product may not be promoted for uses that are not approved by the FDA, EMA and other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enforcement action for off-label marketing by the FDA and other federal and state enforcement agencies, including the Department of Justice. Violation of the Federal Food, Drug, and Cosmetic Act, or FDCA,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The government has also required companies to enter into consent decrees and/or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problems with our medicines,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medicines,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medicine;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distribution or use of a medicine;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medicines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medicines;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any ongoing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medicines;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our current product candidate or any new product candidates we develop receive marketing approval, the FDA could require us to adopt a REMS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suspend or withdraw approvals of such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a product candidate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our contract manufacturers are subject to significant regulation. The manufacturing facilities on which we rely may not continue to meet regulatory requirements, which could materially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authorities also may, at any time following approval of a product for sale, audit any of our future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significant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Shutdowns or 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U.S. administration is focused on reducing costs of the federal government generally, including significantly reducing the number of government employees. Without appropriate staffing levels or the appropriation of additional funding to federal agencies, our business operations related to our product development activities for the U.S. market could be impacted. The ability of the FDA to review and approve proposed clinical studies and new products can be affected by a variety of factors, including government budget and funding levels, statutory, regulatory, leadership,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proposed clinical studies to obtain clearance or new drugs to be reviewed and/or approved, which could harm our business. Changes and cuts in FDA staffing have been reported as resulting in delays in the FDA’s responsiveness or in its ability to review submissions or marketing applications, issue regulations or guidance, or implement or enforce regulatory requirements in a timely fashion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prolonged government shutdown, such as took place in October 2025, or significant leadership, personnel, and/or policy changes, or other substantial modification in agency activities (including due to global health concerns or geopolitical factors) could significantly impact the ability of the FDA or other regulatory authorities to timely review and process our regulatory submissions, which could have a material adverse effect on our business. In addition, government funding of other agencies on which our operations may rely, including those that fund research and development activities and clinical trials, is subject to the political process, which is inherently fluid and unpredictable. Disruptions at agencies that fund our research and development activities and our clinical trials, or changes to such agencies’ budgets, may negatively impact our operations and ongoing clinical trials and may limit our ability to seek additional funding in the future. Future shutdowns or other disruptions could also affect other government agencies such as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 which may also impact our business by delaying review of our public filings, to the extent such review is necessary, and our ability to access the public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current administration, there have been numerous legislative and regulatory changes, and there continues to be substantial uncertainty as to the extent and manner in which the Trump administration will continue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in which to pursue the development of new therapeutic candidates. Also, state governments may seek to address or react to changes at the federal level with changes to their regulatory frameworks in a manner that could impact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play a primary role in the recommendation and prescription of any product candidates that we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without limitation, the federal Anti-Kickback Statute, the federal civil and criminal False Claims Act and Physician Payments Sunshine Act and regulations. </w:t>
      </w:r>
    </w:p>
    <w:p>
      <w:pPr>
        <w:pStyle w:val="TextBody"/>
        <w:bidi w:val="0"/>
        <w:spacing w:before="240" w:after="283"/>
        <w:jc w:val="left"/>
        <w:rPr>
          <w:rFonts w:ascii="Times New Roman" w:hAnsi="Times New Roman"/>
          <w:sz w:val="20"/>
        </w:rPr>
      </w:pPr>
      <w:r>
        <w:rPr>
          <w:rFonts w:ascii="Times New Roman" w:hAnsi="Times New Roman"/>
          <w:color w:val="000000"/>
          <w:sz w:val="20"/>
        </w:rPr>
        <w:t>Additionally, we are subject to state and foreign equivalents of each of these healthcare laws and regulations,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For additional information, see “</w:t>
      </w:r>
      <w:r>
        <w:rPr>
          <w:rFonts w:ascii="Times New Roman" w:hAnsi="Times New Roman"/>
          <w:i/>
          <w:color w:val="000000"/>
          <w:sz w:val="20"/>
        </w:rPr>
        <w:t>Business—Government Regulation—Healthcare Regulation—Other Healthcare Laws</w:t>
      </w:r>
      <w:r>
        <w:rPr>
          <w:rFonts w:ascii="Times New Roman" w:hAnsi="Times New Roman"/>
          <w:color w:val="000000"/>
          <w:sz w:val="20"/>
        </w:rPr>
        <w:t xml:space="preserve">” in our Annual Report on Form 10-K filed with the SEC for the year-ended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 and U.K. The provision of benefits or advantages to induce or reward improper performance generally is typically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We have entered into consulting and scientific advisory board arrangements with physicians and other healthcare providers, including some who could influence the use of our product candidates, if approved. Compensation under some of these arrangements includes the provision of stock or stock options in addition to cash consideration. It is possible that governmental authorities will conclude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individual imprisonment. If any of the above occur, our ability to operate our business and our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legislative reform discourse and potential or enacted measures may increase the difficulty and cost for us and any future collaborators to obtain marketing approval of and commercialize our product candidates and affect the prices we, or they, may obtain.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U.S. and certain foreign jurisdictions, there have been a number of legislative and regulatory changes to the health care system that could impact our ability to sell our products profitably. We expect that current laws, as well as other healthcare reform measures that may be adopted in the future, may result in additional reductions in Medicare and other healthcare funding, more rigorous coverage criteria, new payment methodologies and in additional downward pressure on the price that we, or any collaborators, may receive for any approved products. For additional information, see “</w:t>
      </w:r>
      <w:r>
        <w:rPr>
          <w:rFonts w:ascii="Times New Roman" w:hAnsi="Times New Roman"/>
          <w:i/>
          <w:color w:val="000000"/>
          <w:sz w:val="20"/>
        </w:rPr>
        <w:t>Business—Government Regulation—Healthcare Regulation—Healthcare Reform and Legislative Updates</w:t>
      </w:r>
      <w:r>
        <w:rPr>
          <w:rFonts w:ascii="Times New Roman" w:hAnsi="Times New Roman"/>
          <w:color w:val="000000"/>
          <w:sz w:val="20"/>
        </w:rPr>
        <w:t>” in our Annual Report on Form 10-K filed with the SEC for the year-ended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Trump Administration and Congress are pursuing a multi-pronged strategy to reduce U.S. drug prices through most-favored-nation (“MFN”) pricing, which would tie U.S. drug prices to the lowest prices paid in comparable developed countries. This includes the May 12, 2025 Executive Order directing HHS to communicate MFN price targets to manufacturers, voluntary MFN pricing agreements entered into between the Administration and all 17 targeted manufacturers (which include commitments to Medicaid price parity, MFN pricing on new product launches, and participation in TrumpRx.gov in exchange for tariff relief and regulatory benefits), CMS’s proposed mandatory GLOBE (Medicare Part B) and GUARD (Medicare Part D) payment models that would impose incremental rebate obligations on manufacturers of qualifying single-source drugs, and a voluntary Medicaid MFN model (GENEROUS). Legislative proposals, including the Most Favored Patient Act introduced in March 2026, seek to codify these initiatives into federal law. It is unclear whether and to what extent these proposals will be implemented or survive legal challenge, and a similar MFN model finalized during the first Trump Administration was halted by federal courts and subsequently rescinded for procedural reasons; however, MFN pricing policy represents a significant and evolving uncertainty that could materially adversely affect our pricing strategy, revenue, and ability to commercialize our product candidates,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if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other healthcare reform measures may be adopted in the future, which may result in additional reductions in Medicare and other healthcare funding, proposals to set pharmaceutical pricing based on a “most favored nation” approach, more rigorous coverage criteria, lower reimbursement, and new payment methodologies. This could lower the price that we receive for our products.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products. It is not clear how other future potential changes to the Patient Protection and Affordable Care Act, as amended by the Health Care and Education Reconciliation Act, each as amended, will change the reimbursement model and market outlook for our current and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consultants and partners, and in our clinical trials, our principal investigators. Misconduct by these parties could include intentional or unintentional failures to comply with FDA regulations or the regulations applicable in the EU and other jurisdictions, provide accurate information to the FDA, the European Commission and other regulatory authorities, comply with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European Commission and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outside of the U.S. and require us to develop and implement costly compliance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numerous laws and regulations in each jurisdiction outside the U.S. in which we operate. The creation, implementation and maintenance of international business practices compliance programs is costly and such programs are difficult to enforce, particularly where reliance on third parties is required.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Corrupt Practices Act, or FCPA, prohibits any U.S. individual or business from paying, offering, or authorizing the provision of money or anything of value, directly or indirectly through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the FCPA and other anti-corruption laws potentially applicable to our business is expensive and difficult, particularly in countries in which corruption is a recognized problem. In addition, compliance with the FCPA and other anti-corruption laws presents particular challenges in the pharmaceutical industry, because, in many countries, hospitals are operated by the government, and doctors and other hospital employees are considered foreign officials.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U.S. export and sanctions laws, regulations and executive orders also restrict the use and dissemination outside of the U.S., or the sharing with certain non-U.S. nationals, of certain products and technical data relating to those products. Furthermore, such export and sanctions laws include restrictions or prohibitions on the sale or supply of certain products and services to U.S. embargoed countries or sanctioned countries, governments, persons and entities. Our expansion outside of the U.S. has required,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will continue to require, us to dedicate additional resources to comply with these laws, and these laws may preclude us from developing, manufacturing or selling certain drugs and drug candidates outside of the U.S., which could limit our growth potential and increase our development costs. The failure to comply with laws governing international business practices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data protection, privacy, and security laws, regulations, standards and contractual obligations and actual or perceived failure to comply with such requirements could have a material adverse effect on our business, financial condition, results of operations or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data privacy and protection laws, regulations, policies, standards and contractual obligations that impose certain requirements relating to the collection, transmission, storage and use of personal information. The legislative and regulatory landscape for data privacy and protection continues to evolve in jurisdictions worldwide, and there has been an increasing focus on privacy and data protection issues. Actual or perceived failure to comply with laws and regulations governing personal information could result in government investigations and enforcement actions against us, fines, claims for damages by affected third parties, damage to our reputation and loss of goodwill, any of which could have a material adverse effect on our business, financial condition, results of operations or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framework for the collection, use, safeguarding, sharing, transfer and other processing of personal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including personal health data, of individuals in the European Economic Area, or EEA, is subject to the EU General Data Protection Regulation, or EU GDPR, as well as national data protection laws in effect in the member states of the EEA, and similar processing of personal data regarding individuals in the U.K. is governed by the U.K. General Data Protection Regulation, or U.K. GDPR and the U.K. Data Protection Act 2018. In this document, “GDPR” refers to both the EU GDPR and the U.K. GDPR, unless specified otherwise. The GDPR imposes stringent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the personal data relates, establishing a legal basis for processing, providing information to individuals regarding data processing activities, implementing safeguards to protect the security and confidentiality of personal data that requires the adoption of administrative, physical and technical safeguards to protect such information, providing notification of data breaches to appropriate data protection authorities or data subjects, requiring data protection impact assessments for high risk processing and establishing means for data subjects to exercise rights in relation to their personal data and taking certain measures when engaging third-party processors. The GDPR's definition of personal data includes coded data. Failure to comply with the requirements of the GDPR may result in warning letters, mandatory audits, orders to cease/change the use of data, and financial penalties, including fines, which can be up to 4% of global revenues or €20 million (£17.5 million for the U.K.), whichever is greater. The GDPR also confers a private right of action on data subjects and consumer associations to lodge complaints with supervisory authorities, seek judicial remedies, and obtain compensation for damages resulting from violations of the GDPR.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other requirements, the GDPR includes restrictions on cross-border transfers of personal data subject to the GDPR to countries outside the EEA/U.K. that have not been found to provide adequate protection to such personal data (third countries), unless a valid GDPR transfer mechanism (for example, the European Commission approved Standard Contractual Clauses, or SCCs, certification to the EU-U.S. Data Privacy Framework (which allows for transfers to relevant U.S.-based organizations who self-certify compliance and participate in the framework)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geographical location or segregation of our relevant systems and operations, and could adversely affect our financial results. Switzerland has also adopted similar restrictions on transfer of personal data outside of its borders. Although the U.K. is regarded as a third country under the EU’s GDPR, the European Commission has adopted an (adequacy decision) in favor of the U.K., a decision recognizing the U.K. as providing adequate protection under the EU GDPR and enabling data transfers from EU Member States to the U.K. without additional safeguards.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implement a valid solution for personal data transfers from the EEA, U.K. or Switzerland to the U.S. or other countries, we will face increased exposure to regulatory actions, substantial fines and injunctions against processing personal data in those jurisdictions. Inability to import personal data from the EEA, U.K. or Switzerland may also restrict our clinical trials activities in those jurisdictions; limit our ability to collaborate with contract research organizations as well as other service providers, contractors and other companies subject to data protection laws in those jurisdictions; and require us to increase our data processing capabilities in those jurisdictions at significant expense. Additionally, other countries outside of the EEA, U.K., and Switzerland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European Commission adopted a decision determining that the U.K. continues to offer a level of data protection that is “essentially equivalent” to the EU standards, extending the validity of the U.K. adequacy decision for six years, until December 2031. This follows the U.K.’s adoption of the Data (Use and Access) Act 2025, or the DUAA, on June 19, 2025. While this renewal reduces immediate adequacy concerns, it is unclear how U.K. data protection laws and regulations will develop in the medium to longer term, and how data transfers to and from the U.K. will be regulated in the long term. Although the EU GDPR and the U.K. GDPR currently impose substantially similar obligations it is possible that over time the respective provisions, interpretations and enforcement of the EU GDPR and U.K. GDPR may further diverge in the future and create additional regulatory challenges and uncertainties. The lack of clarity on future U.K. laws and regulations and their interaction with EU laws and regulations could add legal risk, uncertainty, complexity and cost to our handling of U.K. and EEA personal data and our privacy and data security compliance programs, and could require us to implement different compliance measures for the U.K. and the EEA. The European Commission has also proposed reforms under the “Digital Omnibus” package which, if adopted, may further modify GDPR-related requirements, including by clarifying the scope of “personal data” and the treatment of coded or de-identified data, potentially requiring further adjustments to our European privacy compliance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breadth and depth of applicable data protection obligations, preparing for and complying with the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 The GDPR, and other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privacy and data security requirements are either in place or underway in the U.S. There are numerous data protection laws that may be applicable to our activities, and a range of enforcement agencies at both the state and federal levels that can review companies for privacy and data security concerns based on general consumer protection laws. Regulations promulgated pursuant to the Health Insurance Portability and Accountability Act, as amended by the Health Information Technology for Economic and Clinical Health Act, and referred herein collectively as HIPAA, impose privacy, security and breach notification obligations on health plans, healthcare clearinghouses and certain healthcare providers,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establishes privacy and security standards that limit the use and disclosure of Protected Health Information, or PHI, and requires the implementation of administrative, physical and technological safeguards to protect the privacy of PHI and ensure the confidentiality, integrity and availability of electronic PHI. Most healthcare providers, including research institutions from which we obtain patient health information, are subject to HIPAA. We do not believe that we are currently acting as a covered entity or business associate under HIPAA and thus are not directly subject to its requirements.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Trade Commission, or FTC, and state Attorneys General are also aggressive in reviewing privacy and data security protections for consumers. According to the FTC, failing to take appropriate steps to keep consumers’ personal information secure could constitute unfair or deceptive acts or practices in or affecting commerce in violation of Section 5(a) of the FTC Act. The FTC’s current guidance for appropriately securing consumers’ personal information is similar to what is required by the HIPAA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regulations, but this guidance may change in the future, resulting in increased complexity and the need to expend additional resources to ensure we are complying with the FTC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considered or have been implemented at both the state and federal levels. For example, 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January 2026, 20 states now have comprehensive privacy laws in effect. For example, the California Consumer Privacy Act of 2018, or the CCPA, which became effective on January 1, 2020, requires companies that process information of California consumers (as defined under the CCPA) to provide disclosures to such consumers about their data collection, use and sharing practices, provides Californian consumers with individual data privacy rights, imposes operational requirements for covered businesses, provides a private right of action for data breaches and creates a statutory damages framework. Although there are limited exemptions for PHI and clinical trial data under the CCPA, the CCPA and other similar laws could impact our business activities depending on how such laws are interpreted. Additionally as of January 1, 2023, the California Privacy Rights Act, or CPRA has significantly modified the CCPA, including by expanding consumers’ rights with respect to certain sensitive personal information and creating a state agency that is vested with authority to implement and enforce the CCPA.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other states have enacted or are considering comprehensive privacy legislation similar to the CCPA, and a broad range of legislative measures also have been introduced at state and federal level. Such legislation adds additional complexity, variation in requirements, restrictions and potential legal risk. The introduction of new comprehensive privacy laws across the country may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makes our compliance obligations more complex and costly and increases the likelihood that we may be subject to enforcement actions or otherwise incur liability for noncompliance. There are also states that are specifically regulating health information. For example, Washington state passed a health privacy law that, as of June 30, 2024, regulates the collection and sharing of health information. This law also has a private right of action, which further increases the relevant compliance risk of collecting the health information of Washington residents. Connecticut and Nevada have also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new comprehensive federal data privacy law to which we could become subject, if enacted.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and may impede or restrict business activities, including clinical trial participant recruitment and advertising. Further, any failure by our third-party collaborators, service providers, contractors or consultants to comply with applicable law, regulations or contractual obligations related to data privacy or security could result in proceedings against us by governmental entities or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Despite our efforts, we may not be successful in achieving compliance if our employees or vendors fail to comply with our published policies and documentation. Such failures can subject us to potential international, local, state and federal action and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Claims that we have violated individuals’ privacy rights or failed to comply with data protection laws or applicable privacy notices, even if we are not found liable, could be expensive and time-consuming to defend and could result in adverse publicity that could harm our business. Any failure or perceived failure by us to comply with any applicable federal, state or foreign laws and regulations relating to data privacy and security could result in damage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our reputation, as well as proceedings or litigation by governmental agencies or other third parties, including consumer class actions related to these laws and the overall protection of personal information.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use and integrate artificial intelligence, or AI, into our business processes through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environmental harms, and other harms may flow from any use or deployment of AI technologies. If we enable or use solutions that draw controversy due to perceived or actual negative societal impact, we may experience brand or reputational harm, competitive harm or legal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is now in effect and is expected to undergo amendments, as introduced in the EU’s November 2025 Digital Omnibus. As enacted, the AI Act imposes significant obligations on providers and deployers of AI systems,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U.S. Food and Drug Administration,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meet various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of our product candidates obtains regulatory approval and does not receive appropriate periods of non-patent exclusivity, competitors could enter the market with generic versions of such products more quickly than we expect, which may result in a material decline in sales of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abbreviated new drug application, or ANDA, or 505(b)(2) NDA.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once an NDA is approved, the product covered thereby becomes a “reference listed drug” in the FDA’s publication, “Approved Drug Products with Therapeutic Equivalence Evaluations,” or the Orange Book. Manufacturers may seek approval of generic versions of reference listed drugs through submission of ANDAs in the U.S. In support of an ANDA, a generic manufacturer generally must show that its product has the same active ingredient(s), dosage form, strength, route of administration, and adequate labeling as the reference listed drug and that the generic version is bioequivalent to the reference listed drug, meaning, in part, that it is absorbed in the body at the same rate and to the same extent. Generic products may be significantly less costly to bring to market than the reference listed drug and companies that produce generic products are generally able to offer them at lower prices. Moreover, many states allow or require substitution of therapeutically equivalent generic drugs at the pharmacy level even if the branded drug is prescribed. Thus, following the introduction of a generic drug, a significant percentage of the sales of any branded product or reference listed drug may be lost to the generic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not finally approve an ANDA for a generic product until any applicable period of non-patent exclusivity for the reference listed drug has expired. The FDCA provides a period of five years of non-patent exclusivity for a new drug containing a NCE. For the purposes of this provision, an NCE is a drug that contains no active moiety that has previously been approved by the FDA in any other NDA. An active moiety is the molecule or ion responsible for the physiological or pharmacological action of the drug substance. Specifically, in cases where such exclusivity has been granted, an ANDA may not be filed with the FDA until the expiration of five years unless the submission is accompanied by a patent certification that a patent covering the listed drug is invalid unenforceable or will not be infringed by the generic product. In that case, the applicant may submit its application four years following approval of the listed drug and seek to launch its generic product even if we still have patent protection for our product unless an infringement suit is timely filed by the NDA or patent holder in which case the FDA cannot approve the ANDA for 30 months unless a court decision in favor of the generic manufacturer is issued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Three-year exclusivity is given to a drug if it contains an active moiety that has previously been approved, and the NDA includes reports of one or more new clinical investigations, other than bioavailability or bioequivalence studies, that were conducted by or for the applicant and are essential to the approval of the NDA. This form of marketing exclusivity is known as New Clinical Investigation, or NCI, exclusivity. If our product candidates are approved with only NCI exclusivity, generic manufacturers may file their ANDAs any time following approval of our product candidates and seek to launch their generic products following the expiration of the three year market exclusivity period, even if we still have patent protection for our product unless an infringement suit is timely filed triggering a 30 month stay on approval of the generic product (subject to the disposition of the patent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believe that our product candidates may be NCEs in the U.S., the FDA may determine, however, that they are not eligible for NCE exclusivity but receive three years of NCI exclusivity instead, if and when FDA approves an NDA for the product. If any product we develop does not receive five years of NCE exclusivity, the FDA may approve generic versions of such product three years after its date of approval, subject to any patents exclusivity we may have. If an ANDA applicant certifies to the invalidity or non-infringement of listed patents and an infringement suit is timely filed by the NDA or patent holder, the FDA cannot finally approve the ANDA for 30 months unless a court decision in favor of the generic manufacturer is issued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if any of our product candidates is approved, competitors could file ANDAs for generic versions of these products or 505(b)(2) NDAs that reference our product candidates. If there are patents listed for our product candidates in the Orange Book, any ANDA and 505(b)(2) NDA applicants would be required to include a certification as to each listed patent indicating whether the ANDA applicant does or does not intend to challenge the patent. FDORA also requires that the FDA consider therapeutic equivalence determinations for certain Section 505(b)(2) drugs that are pharmaceutical equivalents to listed drugs relied upon in an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either at the time of approval or up to 180 days post-approval, upon request of the sponsor. These therapeutic equivalence determinations could have an adverse effect on our business. Because we remain early in the research and preclinical development of our product candidates,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patent certification and subsequent litigation, the affected product could immediately face generic competition and its sales would likely decline rapidly and materially. </w:t>
      </w:r>
    </w:p>
    <w:p>
      <w:pPr>
        <w:pStyle w:val="TextBody"/>
        <w:bidi w:val="0"/>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us or more successfully than we do.</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face competition with respect to our product candidates from major pharmaceutical companies, specialty pharmaceutical companies and biotechnology companies worldwide. There are a number of large pharmaceutical and biotechnology companies that currently are pursuing the development of products for the treatment of many of the disorders for which we are conducting research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than our product candidates or that would render our product candidates obsolete or non-competitive. Our competitors also may obtain FDA, European Commission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face competition from existing products and product candidates in development for our programs. For our sole clinical-stage product candidate, PGN-EDODM1, there are currently no approved therapies to treat the underlying cause of the disease. Pipeline candidates currently in development to treat DM1 include several approaches that target DMPK RNA. These include AOC 1001, an antibody linked siRNA in Phase 3 clinical development by Avidity Biosciences, Inc., or Avidity, which has been acquired by Novartis; DYNE-101, an antibody conjugated antisense oligonucleotide in Phase 2 clinical development by Dyne, with an ongoing registrational expansion cohort reportedly intended to support a potential submission for accelerated approval in the U.S. and a recently initiated confirmatory Phase 3 clinical trial; VX-670, a peptide conjugated PMO in Phase 2 originally developed by Entrada Therapeutics, Inc., or Entrada, and Vertex; and ARO-DM1, a conjugated siRNA in Phase 1/2 clinical development by Sarepta, originally developed by Arrowhead Pharmaceuticals, Inc., or Arrowhead. There are additional approaches under development such as ATX-01, a microRNA that modulates expression of MBNL1 by Arthex Biotech S.L., that is in Phase 1/2a clinical development. Another small molecule, tideglusib, which is a GSK3-ß inhibitor is in clinical development by AMO for the congenital phenotype of DM1.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gene editing and gene delivery treatments are in discovery or preclinical development by Vertex, Astellas Pharma Inc. and Kate Therapeutics Inc. (recently acquired by Novartis). In addition, Design Therapeutics, Inc. is developing an approach to prevent formation of CUG hairpins; and Expansion Therapeutics, Inc. and Arrakis Therapeutics are developing an approach utilizing the interaction of small molecules with RNA in preclinical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also compete more generally with other companies developing alternative scientific and technological approaches, including other companies working to develop conjugates with oligonucleotides for extra-hepatic delivery, including Alnylam Pharmaceuticals, Inc., Aro Biotherapeutics Co., Arrowhead, Avidity (which has been acquired by Novartis), Dicerna Pharmaceuticals, Inc. (acquired by Novo Nordisk), Dyne, Entrada, Ionis Pharmaceuticals, Inc., PYC Therapeutics Limited and Sarepta, as well as gene therapy and gene editing approaches.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of our products, if approved. Competitive products or technological approaches may make any products we develop, or our EDO platform, obsolete or noncompetitive before we recover the expense of developing and commercializing our product candidates. If we are unable to compete effectively, our opportunity to generate revenue from the sale of our products, if approved,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one or more of our product candidates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product candidates progresses successfully through clinical development and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advantages and limitations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third-party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restrictions on the use of our products, if approved, together with other medications.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any product candidates we develop are smaller than we believe they are, our revenue may be adversely affected, and our business may suffer. Because the target patient populations of our programs are small, and the addressable patient population even smaller, we must be able to successfully identify patients and capture a significant market share to achieve profitability and growth.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target patient populations are relatively small, and as a result, the pricing and reimbursement of our product candidates, if approved, is uncertain, but must be adequate to support commercial infrastructure. If we are unable to obtain adequate levels of reimbursement, our ability to successfully market and sell product candidates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estimates of market opportunity and forecasts of market growth included in this Form 10-Q if any, or our other public disclosures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opportunity estimates and growth forecasts included in this Form 10-Q, if any, or our other public disclosures are subject to significant uncertainty and are based on assumptions and estimates which may not prove to be accurate. The estimates and forecasts included in this Form 10-Q or our other public disclosures relating to size and expected growth of our target market, if any, may prove to be inaccurate. Even if the markets in which we compete meet any size estimates and/or growth forecasts included in this Form 10-Q, our business may not grow at similar rates, or at all. Our growth is subject to many factors, including our success in implementing our business strategy, which is subject to many risks and uncertainties.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pricing and third-party payor coverage and reimbursement status of newly approved products are uncertain. Failure to obtain or maintain adequate coverage and reimbursement for our future product candidates, if approved, could limit our ability to market those products and decrease our ability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For products administered under the supervision of a physician, obtaining coverage and adequate reimbursement may be particularly difficult because of the higher prices often associated with such drugs. Even if coverage is provided, the approved reimbursement amount may not be high enough to allow us to establish or maintain pricing sufficient to realize a sufficient return on our investment. For additional information, see “</w:t>
      </w:r>
      <w:r>
        <w:rPr>
          <w:rFonts w:ascii="Times New Roman" w:hAnsi="Times New Roman"/>
          <w:i/>
          <w:color w:val="000000"/>
          <w:sz w:val="20"/>
        </w:rPr>
        <w:t>Business—Government Regulation—Healthcare Regulation—Coverage and Reimbursement</w:t>
      </w:r>
      <w:r>
        <w:rPr>
          <w:rFonts w:ascii="Times New Roman" w:hAnsi="Times New Roman"/>
          <w:color w:val="000000"/>
          <w:sz w:val="20"/>
        </w:rPr>
        <w:t>” in our Annual Report on Form 10-K filed with the SEC for the year-ended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Government authorities and third-party payors, such as private health insurers and health maintenance organizations, decide which medications they will pay for and establish reimbursement levels. There is significant uncertainty related to the insurance coverage and reimbursement of newly approved products. In the U.S., the decisions about coverage and reimbursement for new products under the Medicare program are made by the Centers for Medicare &amp; Medicaid Services, or CMS. Private payors tend to follow CMS to a substantial degree. However, one payor’s determination to provide coverage for a product does not assure that other payors will also provide coverage for the drug product. Further, a payor’s decision to provide coverage for a drug product does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imply that an adequate reimbursement rate will be approved. Reimbursement agencies in the EU may be more conservative than CMS. Factors payors consider in determining reimbursement are based on whether the product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U.S., international operations are generally subject to extensive governmental price controls and other market regulations, and we believe the increasing emphasis on cost-containment initiatives in the EU, the U.K.,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U.S., the reimbursement for our product candidates may be reduced compared with the U.S. and may be insufficient to generate commercially reasonable revenues and profits.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sales, marketing and distribution capabilities or enter into sales, marketing and distribution agreements with third parties, we may not be successful in commercializing our product candidates if any are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future, we may build a sales and marketing infrastructure to market certain of our product candidates if they receive marketing approval.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or third-party efforts, to commercialize our products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recruit, train and retain adequate numbers of effective sales, marketing, coverage or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of sales personnel to educate adequate numbers of physicians on the benefits of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of reimbursement professionals to negotiate arrangements for formulary access, reimbursement and other acceptance by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price our future products, if approved,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our licensors are unable to obtain, maintain, defend, and enforce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large part on our and our licensors’ ability to obtain and maintain patent and other intellectual property protection in the U.S. and other jurisdictions. We and our licensors have sought, and will seek, to protect our proprietary position by filing additional patent applications in the U.S. and abroad related to certain technologies and our platform that are important to our business. However, our patent portfolio is at a somewhat early stage; we do not own any patents and there are 36 issued patents, which we in-licensed from Oxford University Innovation Limited, or OUI, and the Medical Research Council of United Kingdom Research and Innovation, or MRC, and substantive examination of many of the currently pending patent applications we own or license has yet to begin or is in early stage prosecution. In addition, there can be no assurance as to whether or when our patent applications will issue as granted patents. Our ability to stop third parties from making, using, selling, marketing, offering to sell, importing and commercializing our product candidates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 to our product candidates and our technology, it would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 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our product candidates or our technology or from developing or commercializing technology and products similar or identical to ours or other competing products and technologies. Any failure to obtain or maintain patent protection with respect to our product candidates or our EDO platform would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and our licensors may not be able to file, prosecute, maintain, defend, enforce or license all necessary or desirable patent applications at a reasonable cost or in a timely manner. We and our licensors may not be able to obtain, maintain, or defend patents and patent applications due to the subject matter claimed in such patents and patent applications being in the public domain or otherwise unpatentable. It is also possible that we will fail to identify patentable aspects of our research and development output before it is too late to obtain patent protection. Although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In addition, our employees, corporate collaborators, outside scientific collaborators, contract manufacturers, consultants, advisors or other third party partners may file patent applications and even obtain patents based on inventions that we shared with them under contractual terms of confidentiality and non-use. Consequently, we would not be able to prevent any third party from using any of our technology that is in the public domain to compete with our product candidates, or we may need to engage in litigation or other proceedings at the USPTO or foreign patent offices to preserve the exclusivity of our product candidates and platform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products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 in the U.S.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U.S. and other jurisdictions. For example, we may be subject to a third-party submission of prior art to the U.S.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inter partes 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 could allow third parties to commercialize products identical or similar to our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our product candidates.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patents have a limited lifespan. In the U.S.,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our product candidates. Any of the foregoing could have a material adverse effect on our competitive position,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are not able to obtain adequate rights, or otherwise experience disruptions to our business relationships with our current or any future licensors, we could lose intellectual property rights that are important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and expect to continue to be reliant upon third-party licensors for certain patent and other intellectual property rights that are important or necessary to the development of our technology and product candidates. For example, we rely on a license from OUI and MRC, to certain patent rights and know-how of OUI and MRC, or the OUI/MRC License. The OUI/MRC License imposes, and we expect that any future license agreement will impose, specified diligence, milestone payment, fee payment, royalty, commercialization, development and other obligations on us and require us to meet development timelines, or to exercise diligent or commercially reasonable efforts to develop and commercialize licensed products, in order to maintain the licenses.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 delays in the development and commercialization of our product candidates and technology, incur liability for damages, hinder our ability to raise additional capital, and attract investors, create litigation distracting to management, which diverts capital resources, and allow third parties, including our competitors, to obtain license rights to the intellectual property previously licensed to us and assert against us a claim of infringement.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Even if these licenses are not terminated, we may not have rights to intellectual property owned or controlled by our licensors that relate to our product candidate or platform technology. Thus, our licensors may grant rights to such intellectual property, which is not licensed to us, to third parties, including our competitors, which could undermine the competitive position of our product candidate and platform technology and potentially adversely affect the pricing and desirability of our product candidate and platform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 and our technology. Any of the foregoing could have a material adverse effect on our competitive position,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arise regarding intellectual property subject to a licensing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licensors’ ability to obtain, maintain and defend intellectual property and to enforce intellectual property rights against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product candidates and processes infringe, misappropriate or otherwise violate the intellectual property of the licensor that is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intellectual property rights under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development, regulatory, commercialization, financial or other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current or future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OUI/MRC License is,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 impair our ability to maintain our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OUI/MRC License grants certain exclusive patent and technology rights to us, license agreements we have entered into, including the OUI/MRC License, and may enter into in the future, may provide for certain activities as being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some of our in-licensed patent and other intellectual property rights are, and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or foreign government and timely electing title to such inventions. A failure to meet these obligations may lead to a loss of rights or the unenforceability of relevant patents or patent applications.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Filing, prosecuting, maintaining, enforcing and defending patents and other intellectual property rights on our technology and our product candidates in all jurisdictions throughout the world would be prohibitively expensive, and accordingly, our intellectual property rights in some jurisdictions outside the U.S. could be less extensive than those in the U.S. Thus, we may not have applied for patent protection to protect our product candidate or platform technology in all countries that we may commercialize our products or platform technology. Even if we have applied for such patent protection outside of the U.S., in some cases, we or our licensors may not be able to obtain patent or other intellectual property protection for certain technology and product candidates. In addition, the laws of some foreign jurisdictions do not protect intellectual property rights to the same extent as federal and state laws in the U.S. For example, methods of human treatment that are patentable in the U.S. are not patentable in certain countries outside of the U.S. Consequently, we and our licensors may not be able to obtain issued patents or other intellectual property rights covering our product candidates and our technology in all jurisdictions outside the U.S. and, as a result, may not be able to prevent third parties from practicing our and our licensors’ inventions in all countries outside the U.S., or from selling or importing products made using our inventions in and into the U.S.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U.S. These products may compete with our product candidates and our technology and our or our licensors’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many companies have encountered significant problems in protecting and defending intellectual property rights in foreign jurisdictions. The legal systems of certain jurisdictions, particularly certain developing countries, do not favor the enforcement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or other intellectual property or the intellectual property of our licensors, which could be expensive, time-consuming,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infringe our patents or other intellectual property or the intellectual property of our licensors. To cease such infringement or unauthorized use, we may be required to file patent infringement claims, which can be expensive and time-consuming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in the U.S. or worldwide could diminish the value of patents in general, thereby impairing our ability to protect our product candidates and our technology.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patent laws in the U.S. and worldwide, including patent reform legislation such as the Leahy-Smith America Invents Act, or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Act, the U.S.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U.S. and most other countries are confidential for a period of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filing or until issuance, we cannot be certain that we or our licensors were the first to either (i) file any patent application related to our product candidates or (ii) invent any of the inventions claimed in our or our licensor’s patents or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America Invents Act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pharmaceuticals are particularly uncertain. U.S. Supreme Court rulings have narrowed the scope of patent protection available in certain circumstances and weakened the rights of patent owners in certain 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our product candidates or our technology will be held by the USPTO or equivalent foreign patent offices or by courts in the U.S.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and/or patent applications will be due to be paid to the USPTO and various government patent agencies outside of the U.S. over the lifetime of our owned or licensed patent rights. We rely on our outside counsel and other professionals or our licensing partners to correctly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obtaining necessary rights to our product candidates through acquisitions and in-licenses.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rights to certain intellectual property through the OUI/MRC License. Because our programs may require the use of additional intellectual property rights held by third parties, the growth of our business likely will depend, in part, on our ability to acquire, in-license or use these intellectual property rights. In addition, with 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our product candidates and our technology on commercially reasonable terms, or at all. Even if we are able to in-license any such necessary intellectual property, it could be on non-exclusive terms, thereby giving our competitors and other third parties access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same intellectual property licensed to us, and the applicable licensors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successfully obtain rights to required third-party intellectual property rights or maintain the existing intellectual property rights we have licensed,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before administrative bodies in the U.S. or abroad.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one of our licensors initiate legal proceedings against a third party to enforce a patent covering our product candidates or our technology, the defendant could counterclaim that the patent covering the product candidate or technology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U.S. or abroad, even outside the context of litigation. Such mechanisms include re-examination, interference proceedings, derivation proceedings, post grant review, inter partes review and equivalent proceedings such as opposition, invalidation and revocation proceedings in foreign jurisdictions. Such proceedings could result in the revocation or cancellation of or amendment to our patents in such a way that they no longer cover our product candidates or our technology or prevent third parties from competing with our product candidates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our product candidates and our technology. Additionally, we cannot guarantee that we have entered into such agreements with each party that may have or has had access to our trade secrets or proprietary technology and processes.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trade secrets may otherwise become known or be independently discovered by competitors or other third parties. Competitors or third parties could purchase our product candidates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and the ability of our collaborators, if any,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our product candidates,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our product candidates or our technology infringes its patent, the patent holder may sue us even if we have licensed other patent rights for our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certain patents in the U.S. and other jurisdictions owned by third parties that claim subject matter that relates to our product candidates and the EDO platform. Such third parties may assert these patents against us in litigation in the U.S.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required to pay damages, including treble damages, or could be required to take licenses from such third parties which may not be available on commercially reasonable terms, if at all. The amount of potential damages could be significant and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also possible that we have failed to identify relevant third-party patents or applications. Because patent applications can take many years to issue, may be confidential for 18 months or more after filing and can be revised before, or after, issuance, there may be applications now pending which may later result in issued patents that may be infringed by the manufacture, use, sale or importation of our product candidates or our technology and we may not be aware of such patents. Furthermore, applications filed before November 29, 2000 and certain applications filed after that date that will not be filed outside the U.S. may remain confidential until a patent issues. Moreover, it is difficult for industry participants, including us, to identify all third-party patent rights that may be relevant to our product candidates and our technologies because patent searching is imperfect due to differences in terminology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or other proceedings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developing or successfully commercializing our product candidates. In addition, we may lose personnel as a result of such claims and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or the threat thereof may adversely affect our ability to hire employees or contract with independent contractors. A loss of key personnel or their work product could hamper or prevent our ability to commercialize our product candidates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or government body,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our product candidates. Such challenges may also result in our inability to develop, manufacture or commercialize our technology and product candidates without infringing third-party patent rights. In addition, if the breadth or 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for our product candidates, our business may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Hatch-Waxman Amendments to the FDCA, a company may file an ANDA seeking approval of a generic version of an approved innovator product. Depending upon the timing, duration and specifics of any FDA marketing approval of our product candidates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 and other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or our technology. Even if we are successful in defending against such claims, litigation could result in substantial costs and be a distraction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management and other employees.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future trademark applications in the U.S.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intellectual property, including the claims of the patents, that we own or license currently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license partners or current or future collaborators, might not have been the first to make the inventions covered by the issued patent or pending patent application that we own or license currently or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misappropriating, or otherwise violating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or our licensors’ current or future pending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might conduct research and development activities in jurisdictions where we do not have patent or other intellectual property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or other intellectual property rights of others may have an adverse effect on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for certain trade secrets or know-how, and a third party may subsequently file a patent covering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requires us to share our trade secrets, which increases the possibility that a competitor or other third party will discover our trade secrets or that our trade secrets will be misappropriated or disclosed.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currently rely on certain third parties to manufacture all or part of our product candidates and to perform quality testing, and because we may need to collaborate with various third parties for the advancement of our product candidates and technology, we may be required to, at times, share our proprietary technology and confidential information, including trade secrets, with them. We seek to protect our proprietary technology, in part, by entering into confidentiality agreements and, if applicable, material transfer agreements, collaboration agreements, services agreements, consulting agreements and other similar agreements prior to beginning research or disclosing any proprietary information to such third parties.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or purposefully incorporated into the technology of themselves or others or are disclosed or used in violation of these agreements, such as in the filing of patent applications unbeknownst to us. Enforcing a claim that a party illegally disclosed or misappropriated a trade secret is difficult, expensive and time consuming, and the outcome is unpredictable. In addition, some courts inside and outside the U.S.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 </w:t>
      </w:r>
    </w:p>
    <w:p>
      <w:pPr>
        <w:pStyle w:val="TextBody"/>
        <w:bidi w:val="0"/>
        <w:jc w:val="left"/>
        <w:rPr>
          <w:rFonts w:ascii="Times New Roman" w:hAnsi="Times New Roman"/>
          <w:sz w:val="20"/>
        </w:rPr>
      </w:pPr>
      <w:r>
        <w:rPr>
          <w:rFonts w:ascii="Times New Roman" w:hAnsi="Times New Roman"/>
          <w:b/>
          <w:color w:val="000000"/>
          <w:sz w:val="20"/>
        </w:rPr>
        <w:t>Risks Related to Employee Matters, Managing Growth and Other Operational Matters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Our future success depends on our ability to retain key executives and to attract, retain and motivate qualified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need to expand our headcount over time to support our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57 full-time employees. As our development progresses including possibly commencing a pivotal Phase 3 clinical study and related NDA filing for PGN-EDODM1, we expect to experience growth in the number of our employees and the scope of our operations, particularly in the areas of drug development, clinical, regulatory affairs and, if any product candidate receives marketing approval, sales, marketing, distribution and coverage and reimbursement capabilities. To manage our potential future growth, we must continue to implement and improve our managerial, operational and financial systems, and continue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 and train necessary qualified personnel and longer-term, may need to expand our facilities.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growing biotechnology company, we expect to pursue new platforms and product candidates in the future in several therapeutic areas and across a range of diseases. Successfully developing product candidates for, and fully understanding the regulatory and manufacturing pathways to, each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international activities subject us to various risks, and our failure to manage these risks could adversely affect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operational risks as a result of doing business internationally,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foreign currency exchange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adverse and/or unexpected tax consequences, including penalties due to the challenge by tax authorities on our tax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changes to the accounting standards, which may influence our financial situation and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should we have any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becoming subject to the different, complex and changing laws, regulations and court systems of multiple jurisdictions and compliance with a wide variety of foreign laws, treaties;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of, or significant difficulties in enforcing, intellectual property rights, or increased risk of intellectual property disputes, in certain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attracting and retaining qualified consultants, contractors,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imposed by any applicable local labor practices and laws on our business and operations, including unilateral cancellation or modification of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that affect our activities, operations and/or operations of our contractors, consultants, collaborators, vendors or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tariffs, trade protection measures, import or export licensing requirements, trade embargoes and other trade barriers.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associated with tariffs and other trade restrictions, which may have a material adverse impact on our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risks related to tariffs and other trade protection measures—including those that have been or may be imposed by the United States or other countries—as well as import or export licensing requirements, trade embargoes, sanctions (including those administered by the U.S. Department of the Treasury’s Office of Foreign Assets Control), and other trade barriers (including further legislation or actions taken by the United States or other countries that restrict trade). These risks include protectionist or retaliatory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measures that may limit or complicate the sourcing of raw materials, equipment, and other components critical to our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the United States imposed significant tariffs ranging from 10% to 12.5% on virtually all imports to the United States and has also imposed significantly higher rates targeting to certain imports in select industries, including certain pharmaceuticals. In response, several countries have enacted retaliatory measures, and the situation remains unpredictable. Current or future tariffs will result in increased research and development expenses, including with respect to increased costs associated with active pharmaceutical ingredients (APIs), raw materials, laboratory equipment and research materials and other components used in the development and manufacturing of our product candidates which may be subject to such tariffs.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face increased costs and operational disruptions if existing or future tariffs are applied to materials or components used in the development and manufacture of our product candidates. These risks also extend to indirect effects, such as retaliatory tariffs imposed by other countries or additional non-tariff trade barriers. As a result, our research and development activities, manufacturing timelines, and overall financial condition could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acquire additional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addressing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coordination of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from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relationships with collaborators as a result of product acquisitions or strategic positioning resulting from the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challenges associated with integrating employees from the acquired company into our organization;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write-offs or charges;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information technology systems, or those of our vendors, collaborators or other contractors or consultants, may fail or suffer from cyber security incidents or breaches, loss or leakage of data and other disruptions or compromise, which could result in a material disruption of our product development programs, compromise sensitive information related to our business or prevent us from accessing critical information, or trigger contractual and legal obligations, potentially exposing us to liability, reputational harm or otherwise adversely affecting our business and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increasingly dependent upon information technology systems and infrastructure to operate our business. In the ordinary course of business, we collect, store and transmit confidential information (including but not limited to intellectual property, proprietary business information and personal information). It is critical that we, our vendors, collaborators and other contractors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consultants, do so in a secure manner to maintain the availability, security, confidentiality, privacy and integrity of such confidential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given the size and complexity of our internal information technology systems and those of our current and future vendors, collaborators and other contractors or consultants, and the increasing amounts of confidential information that we and our affiliated third parties maintain, such information technology systems are still vulnerable to damage or interruption from security incidents, data breaches, computer viruses, computer hackers, malicious code, ransomware, social engineering attacks (including phishing attacks), employee error, theft or misuse, denial-of-service attacks, sophisticated nation-state and nation-state-supported actors, unauthorized access, natural disasters, terrorism, war, telecommunication and electrical failures or other compromise. The risk of a cybersecurity incident, data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As a result of the effects of a pandemic, such as the COVID-19 pandemic or other health crisis, we may also face increased cybersecurity risks due to our reliance on internet technology and the number of our employees who are working remotely for a portion of their time, which may create additional opportunities for cybercriminals to exploit vulnerabilities.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As such, we may experience cybersecurity incidents, breaches, or compromises that may remain undetected for an extended period. We may be unable to anticipate all types of cybersecurity threats, or implement preventive measures effective against all such cybersecurity threats.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cybersecurity incidents, breaches, or compromises. While we do not believe that we have experienced any significant system failure, accident or cybersecurity breach or incident to date, if such an event were to occur, it could result in a disruption of our development programs and our business operations, whether due to a loss of our trade secrets or other proprietary or confidential information or other disruptions. For example, the loss of clinical trial data from clinical trials could result in delays in our regulatory approval efforts and significantly increase our costs to recover or reproduce the data. If we were to experience a significant cybersecurity incident or breach of our information systems or data, the costs associated with the investigation, remediation and potential notification of the incident or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cybersecurity incidents or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any disruption, cybersecurity incident, data breach, or compromise were to result in a loss of, or damage to, our or our vendors’, collaborators’ or other contractors’ or consultants’ data or applications, or inappropriate disclosure of confidential or proprietary information, we could incur liability, including litigation exposure and penalties and fines.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We could become the subject of regulatory action or investigation, and our competitive position and reputation could be harmed and the further development and commercialization of our product candidates could be delayed. As a result of such an event, we may also be in breach of our contractual obligations. Any of the above could have a material adverse effect on our business, financial condition, results of operations or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financial exposure from the events referenced above could either not be insured against or not be fully covered through any insurance that we maintain.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or those of the third parties upon whom we depend might be affected by the occurrence of a natural disaster, pandemic or other catastrophic event.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our employees, consultants, CDMOs and CROs,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CROs, regulatory agencies or other parties with which we are engaged could have a significant negative impact on our operations and financial performance.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are not a borrower or party to any such instruments with any financial institution that has experienced such events, if we were to borrow money in the future and if any of our lenders or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or perform their obligations to us or to enter into new commercial arrangements requiring additional payments to us or additional funding could be adversely affected. In this regard, counterparties to credit agreements and arrangements with banks in receivership or other financial difficulty, and third parties such as beneficiaries of letters of credit (among others), may experience direct impacts from the closure or reorganization of such financial institutions and uncertainty remains over liquidity concerns in the broader financial services industry. Similar impacts have occurred in the past, such as during the 2008-2010 financial crisis.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future in the event of the closure of other banks or financial institutions in the future,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financial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projected business operations, and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effects of a future pandemic, epidemic or outbreak of an infectious or highly contagious disease, may materially and adversely affect our business and financial results and could cause a disruption in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 health crises such as pandemics, such as the COVID-19 pandemic or similar outbreaks, could adversely impact our business. For example, in connection with COVID-19, we and our CDMOs and CROs in the past experienced a reduction in the capacity to undertake research-scale production and to execute some preclinical studies, and we may face future similar disruptions that affect our ability to initiate and complete preclinical studies or clinical trials. We may also encounter disruptions in procuring items that are essential for our research and development activities, such as raw materials used in the manufacture of any product candidates, laboratory supplies used in our preclinical and clinical studies, or animals that are used for preclinical testing for which there are or may be shortages because of efforts to address a future health pandemic. The ultimate extent to which a future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an outbreak, actions taken to contain an outbreak or mitigate its impact, and the direct and indirect economic effects of an outbreak and containment measures, among other developments.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stock price of our common stock has been and may continue to be volatile or may decline regardless of our operating performance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not be able to sell your shares quickly or at the market price if trading in shares of our common stock is not active. An active or liquid market in our common stock may not develop or, if it does develop, it may not be sustainable, and the prices at which shares of our common stock trade in the market have fluctuated considerably and may fluctuate in the future considerably or decline or be quite volatile regardless of our operating performance and prospects. As a result of these and other factors, you may be unable to resell your shares of our common stock at or above the initial public offering price or the per share price you paid for your shares. </w:t>
      </w:r>
    </w:p>
    <w:p>
      <w:pPr>
        <w:pStyle w:val="TextBody"/>
        <w:bidi w:val="0"/>
        <w:jc w:val="left"/>
        <w:rPr>
          <w:rFonts w:ascii="Times New Roman" w:hAnsi="Times New Roman"/>
          <w:color w:val="000000"/>
          <w:sz w:val="20"/>
        </w:rPr>
      </w:pPr>
      <w:r>
        <w:rPr>
          <w:rFonts w:ascii="Times New Roman" w:hAnsi="Times New Roman"/>
          <w:color w:val="000000"/>
          <w:sz w:val="20"/>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we expect to finance our cash needs through a combination of equity offerings, debt financings, collaborations, strategic alliances and/or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In February 2024, we sold shares of our common stock under our ATM program and in the 2024 Offering, receiving aggregate net proceeds of $86.3 million after deducting underwriters' fees and costs of the offerings. In September 2025, we sold shares of our common stock in a public offering which resulted in net proceeds of $107.6 million after deducting underwriters' fees and estimated offering expenses.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eliminate some or all of our research and development programs, pipeline expansion or future commercialization efforts or grant rights to develop and market product candidates that we would otherwise prefer to develop and market ourselves.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reports or publish inaccurate or unfavorable research or reports about our business,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We do not have any control over these analysts. In the event one or more analysts downgrade our stock price or change their opinion of our stock price, our stock price would likely decline. In addition, if one or more analysts cease coverage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company or fail to regularly publish reports on us, we could lose visibility in the financial markets, which could cause our stock price or trading volume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 of our common stock is volatile and fluctuates substantially, which could result in substantial losses for holders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market in general, and the market for smaller biopharmaceutical companies in particular, have experienced extreme price volatility and volume fluctuations that have often been unrelated to the operating performance of particular companies. As a result of this volatility, you may not be able to sell your common stock at or above the price you paid for it. The market price for our common stock has also been volatile and fluctuated substantially, and it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results of, or developments in, clinical trials of our product candidates or those of our competitors or potential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rulemaking, guidance or decisions, including failure to receive marketing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in commercializing any product candidates that may be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intellectual property or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products, product candidates, technologies or data referencing rights, the costs of commercializing any such products and the costs of development of any such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our financial condition or results, clinical outcomes,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condition or results or the financial condition or results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our executive officers, directors or principal stockholders or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political and market conditions, high inflation and capital market disruptions, and government macroeconomic policies;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other factors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 xml:space="preserve">section.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factors listed above could materially adversely affect your investment in our common stock, and our common stock may trade at prices significantly below the price you paid for our stock, which could contribute to a loss of all or part of your investment. In such circumstances the trading price of our common stock may not recover and may experience a further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securities class-action litigation has often been instituted against that company. Any lawsuit to which we are a party in the future,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maintain liability insurance coverages and may also result in the diversion of management’s attention and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the effects tariffs recently imposed by the United States, which have resulted in other countries imposing additional tariffs on imports from the U.S., including substantial tariffs on imports from the U.S. announced by China, and are likely to continue to result in more retaliatory tariffs and a reduction in global trade could result in a variety of risks to our business, including weakened demand for our product candidates and our ability to raise additional capital when needed on acceptable terms, if at all. In addition, the current geopolitical conflicts could disrupt or otherwise adversely impact our operations and those of third parties upon which we rely. Related sanctions, import/export controls or other actions that have been or may be initiated by nations, including the U.S. or the EU, including previously pending legislative proposals in the U.S. relating to China and certain biotechnology companies of concern, or actions taken by Russia (e.g., potential cyberattacks, disruption of energy flows, etc.) could adversely affect our business and/or our supply chain, our CROs, CDMOs and other third parties with which we conduct business.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including increasing interest rates and high inflation, and financial market conditions could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principal shareholders, if they choose to act together, will continue to have the ability to significantly influence all matters submitted to stockholders for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upon our common stock outstanding as of June 30, 2026, our executive officers, directors, greater than five percent shareholders and their affiliates beneficially own approximately 47.7% of our outstanding common stock. As a result, if these stockholders were to choose to act together, they would be able to significantly influence all matters submitted to our stockholders for approval, as well as our management and affairs, even though some of these persons or entities may have interests that are different than those of yours. For example, these stockholders, if they choose to act together, could significantly influence the election of directors and approval of any merger, consolidation or sale of substantially all of our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concentration of ownership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defer or prevent a merger, consolidation or sale of all or substantially all of our assets that may be desired by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defer or prevent a change in control transaction involving us that other stockholders may desire;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entrench our management and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The sale of a significant number of shares of our common stock, or the perception that such sales could occur,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shares intend to sell shares, could reduce the market price of our common stock, impair our ability to raise capital through the sale of additional equity securities, and make it more difficult for you to sell your common stock at a time and price that you deem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holders of an aggregate of 8,778,170 shares of our common stock have rights, subject to specified conditions, to require us to file registration statements covering their shares or to include their shares in registration statements that we may file for ourselves or other stockholders. We have also filed or will file registration statements on Form S-8 to register all of the shares of common stock that we are able to issue under our equity compensation plans. Shares registered under these registration statements on Form S-8 can be freely sold in the public market upon issuance, subject to volume limitations applicable to affiliates, vesting arrangements, exercise of options and any contractual restrictions that may apply to such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or EGC, as defined in the Jumpstart Our Business Startups Act of 2012, or JOBS Act. We may remain an EGC until the end of the year that is the fifth anniversary of the closing of our IPO, although if the market value of our common stock that is held by non-affiliates exceeds $700.0 million as of any June 30 before that time or if we have annual gross revenues of $1.235 billion or more in any fiscal year, we would cease to be an EGC as of December 31 of the applicable year. We also would cease to be an EGC if we issue more than $1.0 billion of non-convertible debt over a three-year period. For so long as we remain an EGC, we are permitted and intend to rely on exemptions from certain disclosure requirements that are applicable to other public companies that are not EGCs. These exemptions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in the assessment of our internal control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a nonbinding advisory vote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after we no longer qualify as an EGC,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 or Section 404. In reliance on these exemptions, we have taken advantage of reduced reporting obligations in this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permits an EGC to take advantage of an extended transition period to comply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EGC. We may choose to early adopt any new or revised accounting standards whenever such early adoption is permitted for private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substantial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public company, and even more so after we are no longer an EGC or a smaller reporting company, we incur or will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may continue to increase our legal and financial compliance costs, particularly as we hire additional financial and accounting employees to meet public company internal control and financial reporting requirements and have made and will make some activities more time-consuming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costly compared to when we were a private company. For example, we expect that these rules and regulations may make it more difficult and more expensive for us to obtain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members of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or estimate the amount of additional costs we may incur as a public company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404, we were required to furnish a report by our management on our internal control over financial reporting beginning with the Form 10-K for the year ended December 31, 2025. However, while we remain an EGC or a smaller reporting company with less than $100 million in annual revenue,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engaging outside consultants and adopting a detailed work plan to assess and document the adequacy of internal control over financial reporting, continuing steps to improve control processes as appropriate, validating through testing that controls are functioning as documented and implementing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 particularly if such material weakness results in the necessity of a restatement of our historical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disclose changes made in our internal controls and procedures on a quarterly basis and our management is required to assess the effectiveness of these controls annually. However, for as long as we are an EGC under the JOBS Act or a smaller reporting company with less than $100 million in annual revenue, our independent registered public accounting firm will not be required to attest to the effectiveness of our internal control over financial reporting pursuant to Section 404. We could be an EGC for up to five fiscal years after our IPO, which occurred on May 6, 2022.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Anti-takeover provisions in our third amended and restated certificate of incorporation and our second amended and restated bylaws may discourage, delay or prevent a merger, acquisition or other change in control of our company that stockholders may consider favorable, including transactions in which you might otherwise receive a premium for your shares. These provisions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only one of three classes of directors is elected each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stockholder proposals that can be acted on at stockholder meetings and nominations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66.7% of the votes that all our stockholders would be entitled to cast to amend or repeal specified provisions of our certificate of incorporation or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second amended and restated bylaws designate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second amended and restated bylaws provide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owed by any of our directors, officers, employees or stockholders to our company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arising pursuant to any provision of the DGCL or as to which the DGCL confers jurisdiction on the Court of Chancery of the State of Delaware;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arising pursuant to any provision of our certificate of incorporation or bylaws (in each case, as they may be amended from time to time) or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second amended and restated bylaws provide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second amended and restated bylaws.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exclusive forum provision contained in our second amended and restated bylaws to be inapplicable or unenforceable in an action, we may incur further significant additional costs associated with resolving such action in other jurisdictions, all of which could materially adversely affect our business, financial condition and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continue to satisfy listing requirements of the Nasdaq Global Select Market or maintain a listing of our common stock on the Nasdaq Global Select Market.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We must meet certain financial and liquidity criteria to maintain such listing, including a minimum bid price of $1.00 per share. If we violate or fail to meet any of the Nasdaq Global Select Market‘s listing standards, our common stock may be delisted. In addition, our board of directors may determine that the cost of maintaining our listing on a national securities exchange outweighs the benefits of such listing. A delisting of our common stock from the Nasdaq Global Select Market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or financial condition. Further, existing tax laws, statutes, rules, regulations or ordinances could be interpreted, changed, modified or applied adversely to us. A number of other factors could materially adversely affect our business and financial condition including: tax policy initiatives and reforms under consideration (such as those related to the Organization for Economic Co-Operation and Development’s, or OECD, Base Erosion and Profit Shifting, or BEPS, Project, the European Commission’s state aid investigations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OECD Pillar Two Model Rules established a minimum global effective tax rate of 15% on country-by-country basis. EU member states along with many other countries adopted or expected to adopt the OECD Pillar Two Model effective January 1, 2024 or thereafter. The OECD and other countries continue to publish guidelines and legislation which include transition and safe harbor rules. We continue to monitor new legislative changes and assess the global impact of the Pillar Two Model Rules. Based on our initial assessment, we anticipate Pillar Two top-up taxes to be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government may enact significant new changes to the taxation of business entities including, among others, an increase in the corporate income tax rate. Furthermore, 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or may apply existing rules in an unforeseen manner, resulting in unanticipated costs, taxes or non-realization of expected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tax authority may disagree with tax positions that we take, which could result in increased tax liabilities. For example, His Majesty’s Revenue &amp; Customs,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jc w:val="left"/>
        <w:rPr>
          <w:rFonts w:ascii="Times New Roman" w:hAnsi="Times New Roman"/>
          <w:color w:val="000000"/>
          <w:sz w:val="20"/>
        </w:rPr>
      </w:pPr>
      <w:r>
        <w:rPr>
          <w:rFonts w:ascii="Times New Roman" w:hAnsi="Times New Roman"/>
          <w:color w:val="000000"/>
          <w:sz w:val="20"/>
        </w:rPr>
        <w:t xml:space="preserve">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subject to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history of cumulative losses and anticipate that we will continue to incur significant losses in the foreseeable future; thus, we do not know whether or when we will generate taxable income necessary to utilize our net operating losses, or NOLs, or research and development tax credit carryforwards. As of December 31, 2025, we had federal NOLs of $177.3 million and state NOL carryforwards of $199.6 million. We did not generate U.K. NOLs in 2025 as our U.K. entity, PepGen Limited, was dissolved on December 10,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company that carries out extensive research and development activities, we sought to benefit from the U.K. research and development tax relief programs, being the Small and Medium-sized Enterprises R&amp;D tax relief program, or SME Program, and, to the extent that our projects are grant funded or relate to work subcontracted to the company by third parties, the Research and Development Expenditure Credit program, or RDEC Program. Under the SME Program, we may be able to surrender the trading losses that arise from our qualifying research and development activities for a cash rebate of approximately 33.4% of the surrenderable losses. The majority of our research and development activities during 2021 were eligible for inclusion within these tax credit cash rebate claims. We may not be able to continue to claim payable research and development tax credits in the future if we cease to qualify as an SME, based on size criteria concerning employee headcount, turnover and gross assets or if we no longer conduct qualifying research and development activities through our wholly-owned subsidiary PepGen Limited. The U.K. Finance Act of 2021 introduced a cap on payable credit claims under the SME Program in excess of £20,000 with effect from April 2021 by reference to, broadly,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qualifying expenditure. If such exception does not apply, this could restrict the amount of credit that we are able to claim. For the six months ended June 30, 2026, our research and development tax credits from the U.K. government were not material as the intellectual property was transferred from our wholly-owned U.K. subsidiary, PepGen Limited, to the parent company, PepGen Inc. in January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U.S. federal income tax purposes, 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other pre-change tax attributes, including research and development tax credit carryforwards, to offset post-change income or taxes. We have not conducted a study to assess whether any such ownership changes have occurred. We may experience such ownership changes in the future. As a result, if, and to the extent that, we earn net taxable income, our ability to use our NOL carryforwards and research and development tax credit carryforwards to offset such taxable income may be subject to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use of the U.K. NOL carryforwards could be restricted, under Part 14 of the Corporation Tax Act 2010, if a “change in ownership” of either PepGen Inc. or PepGen Limited were to occur and certain other conditions are met. A “change in ownership” is defined, broadly, as the acquisition by one or more persons of more than half of the ordinary share capital of a company. The use of the U.K. NOL carryforwards could be restricted if, within a certain period of a change in ownership, there is a major change in the conduct of PepGen Limited’s trade, PepGen Limited’s trading activities become small or negligible, or if certain other conditions are met.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Any restructuring or change in the nature of our operations of our company may give rise to tax liabilities and/or restrictions in the amount and/or availability of tax attributes.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undergone, and may in the future undertake, changes in the nature or conduct of our operations. For example, pursuant to an asset transfer agreement effective as of January 1, 2022, we effected a novation of all intellectual property assets of our wholly-owned U.K. subsidiary PepGen Limited to PepGen Inc., which resulted in the recording of a tax charge of $3.7 million, including $0.7 million related to an uncertain tax position. PepGen Limited was dissolved on December 10, 2024 and we recognized a $0.7 million tax benefit associated with the resolution of the uncertain tax position. Any future actions regarding transfer of assets from our U.K. subsidiary or other potential international subsidiaries could give rise to tax liabilities for us and/or to the erosion of our tax attributes (such as NOLs).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exposed to the risk of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For example, a putative class action complaint was filed on June 9, 2025 in the United States District Court for the Eastern District of New York, entitled Johnny Karam v. PepGen Inc., et. al., which was subsequently voluntarily dismissed in November 2025. However, whether or not plaintiff’s claims are successful, this type of litigation is often expensive and diverts management’s attention and resources, which could adversely affect the operation of our business. If we are ultimately required to pay significant defense costs, damages or settlement amounts, such payments could adversely affect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the target of similar litigation in the future. Any future litigation could result in substantial costs and divert our management’s attention and resources, which could cause serious harm to our business, operating results and financial condition. We maintain liability insurance; however, if any costs or expenses associated with this or any other litigation exceed our insurance coverage, we may be forced to bear some or all of these costs and expenses directly, which could be substantial.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exposed to significant foreign exchange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euro. We cannot predict the impact of foreign currency fluctuations, and foreign currency fluctuations in the future may adversely affect our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bookmarkStart w:id="15" w:name="item_2_unregistered_sales"/>
      <w:bookmarkEnd w:id="15"/>
      <w:r>
        <w:rPr>
          <w:rFonts w:ascii="Times New Roman" w:hAnsi="Times New Roman"/>
          <w:b/>
          <w:color w:val="000000"/>
          <w:sz w:val="20"/>
        </w:rPr>
        <w:t>Item 2. Unregistered Sales</w:t>
      </w:r>
      <w:r>
        <w:rPr>
          <w:rFonts w:ascii="Times New Roman" w:hAnsi="Times New Roman"/>
          <w:color w:val="000000"/>
          <w:sz w:val="20"/>
        </w:rPr>
        <w:t xml:space="preserve"> </w:t>
      </w:r>
      <w:r>
        <w:rPr>
          <w:rFonts w:ascii="Times New Roman" w:hAnsi="Times New Roman"/>
          <w:b/>
          <w:color w:val="000000"/>
          <w:sz w:val="20"/>
        </w:rPr>
        <w:t>of Equity Securities and Use of Proceeds.</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6" w:name="defaults_upon_senior"/>
      <w:bookmarkEnd w:id="16"/>
      <w:r>
        <w:rPr>
          <w:rFonts w:ascii="Times New Roman" w:hAnsi="Times New Roman"/>
          <w:b/>
          <w:color w:val="000000"/>
          <w:sz w:val="20"/>
        </w:rPr>
        <w:t>Item 3. Defaults Upon Senior</w:t>
      </w:r>
      <w:r>
        <w:rPr>
          <w:rFonts w:ascii="Times New Roman" w:hAnsi="Times New Roman"/>
          <w:color w:val="000000"/>
          <w:sz w:val="20"/>
        </w:rPr>
        <w:t xml:space="preserve"> </w:t>
      </w:r>
      <w:r>
        <w:rPr>
          <w:rFonts w:ascii="Times New Roman" w:hAnsi="Times New Roman"/>
          <w:b/>
          <w:color w:val="000000"/>
          <w:sz w:val="20"/>
        </w:rPr>
        <w:t>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mine_safety_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ended June 30, 2026, none of our directors or officers (as defined in Rule 16a-1(f) of the Exchange Act)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3"/>
        <w:gridCol w:w="146"/>
        <w:gridCol w:w="9296"/>
      </w:tblGrid>
      <w:tr>
        <w:trPr/>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6" w:type="dxa"/>
            <w:tcBorders/>
            <w:vAlign w:val="center"/>
          </w:tcPr>
          <w:p>
            <w:pPr>
              <w:pStyle w:val="TableContents"/>
              <w:bidi w:val="0"/>
              <w:spacing w:before="0" w:after="283"/>
              <w:jc w:val="left"/>
              <w:rPr>
                <w:sz w:val="4"/>
                <w:szCs w:val="4"/>
              </w:rPr>
            </w:pPr>
            <w:r>
              <w:rPr>
                <w:sz w:val="4"/>
                <w:szCs w:val="4"/>
              </w:rPr>
            </w:r>
          </w:p>
        </w:tc>
      </w:tr>
      <w:tr>
        <w:trPr/>
        <w:tc>
          <w:tcPr>
            <w:tcW w:w="76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Certificate of Incorporation (Incorporated by reference to Exhibit 3.1 to the Company's Quarterly Report on Form 10-Q filed on June 16, 2022 (File No. 001-41374)).</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Correction to Third Amended and Restated Certificate of Incorporation, filed with the Secretary of State of Delaware on November 7, 2022</w:t>
              </w:r>
            </w:hyperlink>
            <w:r>
              <w:rPr>
                <w:rFonts w:ascii="Times New Roman" w:hAnsi="Times New Roman"/>
                <w:color w:val="000000"/>
                <w:sz w:val="20"/>
              </w:rPr>
              <w:t xml:space="preserve"> </w:t>
            </w:r>
            <w:r>
              <w:rPr>
                <w:rFonts w:ascii="Times New Roman" w:hAnsi="Times New Roman"/>
                <w:color w:val="0000FF"/>
                <w:sz w:val="20"/>
                <w:u w:val="single"/>
              </w:rPr>
              <w:t>(Incorporated by reference to Exhibit 3.2 to the Company's Quarterly Report on Form 10-Q filed on November 10, 2022 (File No. 001-41374)).</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Third Amended and Restated Certificate of Incorporation of PepGen Inc. (Incorporated by reference to Exhibit 3.1 to the Company’s Current Report on Form 8-K filed on June 20, 2024 (File No. 001-41374))</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By-laws (Incorporated by reference to Exhibit 3.1 to the Company’s Current Report on Form 8-K filed on March 15, 2024 (File No. 001-41374)).</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July 30, 2021, among the Company and certain of its stockholders (Incorporated by reference to Exhibit 4.1 to the Company's Registration Statement on Form S-1, as amended (File No. 333-264335)).</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Specimen Common Stock Certificate (Incorporated by reference to Exhibit 4.2 to the Company’s Registration Statement on Form S-1, as amended (File No. 333-264335).</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epg-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epg-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epg-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epg-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Previously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Exhibits 32.1 and 32.2 hereto are deemed to accompany this Form 10-Q and will not be deemed “filed” for purposes of Section 18 of the Exchange Act. Such certification will not be deemed to be incorporated by reference into any filings under the Securities Act, or the Exchange Act, except to the extent that the Company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529" w:type="dxa"/>
        <w:jc w:val="left"/>
        <w:tblInd w:w="0" w:type="dxa"/>
        <w:tblLayout w:type="fixed"/>
        <w:tblCellMar>
          <w:top w:w="28" w:type="dxa"/>
          <w:left w:w="28" w:type="dxa"/>
          <w:bottom w:w="28" w:type="dxa"/>
          <w:right w:w="28" w:type="dxa"/>
        </w:tblCellMar>
      </w:tblPr>
      <w:tblGrid>
        <w:gridCol w:w="1846"/>
        <w:gridCol w:w="146"/>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PEPGEN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McArthur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McArthur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Noel Donnelly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Noel Donnelly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bookmarkStart w:id="21" w:name="pepg-ex31_1.htm"/>
      <w:bookmarkStart w:id="22" w:name="kspepg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James McArthur,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Quarterly Report on Form 10-Q of PepGen Inc.;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4728" w:type="dxa"/>
        <w:jc w:val="left"/>
        <w:tblInd w:w="0" w:type="dxa"/>
        <w:tblLayout w:type="fixed"/>
        <w:tblCellMar>
          <w:top w:w="28" w:type="dxa"/>
          <w:left w:w="28" w:type="dxa"/>
          <w:bottom w:w="28" w:type="dxa"/>
          <w:right w:w="28" w:type="dxa"/>
        </w:tblCellMar>
      </w:tblPr>
      <w:tblGrid>
        <w:gridCol w:w="18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McArthur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McArthur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pepg-ex31_2.htm"/>
      <w:bookmarkStart w:id="24" w:name="kspepgex31_2"/>
      <w:bookmarkEnd w:id="23"/>
      <w:bookmarkEnd w:id="24"/>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Noel Donnelly,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Quarterly Report on Form 10-Q of PepGen Inc.;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HorizontalLine"/>
        <w:pBdr>
          <w:bottom w:val="double" w:sz="2" w:space="0" w:color="808080"/>
        </w:pBdr>
        <w:bidi w:val="0"/>
        <w:spacing w:before="0" w:after="283"/>
        <w:jc w:val="left"/>
        <w:rPr/>
      </w:pPr>
      <w:r>
        <w:rPr/>
      </w:r>
    </w:p>
    <w:p>
      <w:pPr>
        <w:pStyle w:val="TextBody"/>
        <w:bidi w:val="0"/>
        <w:spacing w:before="12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7398" w:type="dxa"/>
        <w:jc w:val="left"/>
        <w:tblInd w:w="0" w:type="dxa"/>
        <w:tblLayout w:type="fixed"/>
        <w:tblCellMar>
          <w:top w:w="28" w:type="dxa"/>
          <w:left w:w="28" w:type="dxa"/>
          <w:bottom w:w="28" w:type="dxa"/>
          <w:right w:w="28" w:type="dxa"/>
        </w:tblCellMar>
      </w:tblPr>
      <w:tblGrid>
        <w:gridCol w:w="1846"/>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Noel Donnelly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Noel Donnelly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pepg-ex32_1.htm"/>
      <w:bookmarkStart w:id="26" w:name="kspepgex32_1"/>
      <w:bookmarkEnd w:id="25"/>
      <w:bookmarkEnd w:id="26"/>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connection with the Quarterly Report on Form 10-Q of PepGen Inc. (the “Company”) for the quarter ended June 30, 2026, as filed with the Securities and Exchange Commission on the date hereof (the “Report”), the undersigned officer of the Company hereby certifies, pursuant to 18 U.S.C. §1350, as adopted pursuant to § 906 of the Sarbanes-Oxley Act of 2002, to the best of my knowledge,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40"/>
        <w:jc w:val="left"/>
        <w:rPr/>
      </w:pPr>
      <w:r>
        <w:rPr/>
        <w:t> </w:t>
      </w:r>
    </w:p>
    <w:tbl>
      <w:tblPr>
        <w:tblW w:w="4728" w:type="dxa"/>
        <w:jc w:val="left"/>
        <w:tblInd w:w="0" w:type="dxa"/>
        <w:tblLayout w:type="fixed"/>
        <w:tblCellMar>
          <w:top w:w="28" w:type="dxa"/>
          <w:left w:w="28" w:type="dxa"/>
          <w:bottom w:w="28" w:type="dxa"/>
          <w:right w:w="28" w:type="dxa"/>
        </w:tblCellMar>
      </w:tblPr>
      <w:tblGrid>
        <w:gridCol w:w="18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McArthur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McArthur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12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pepg-ex32_2.htm"/>
      <w:bookmarkStart w:id="28" w:name="kspepgex32_2"/>
      <w:bookmarkEnd w:id="27"/>
      <w:bookmarkEnd w:id="28"/>
      <w:r>
        <w:rPr>
          <w:rFonts w:ascii="Times New Roman" w:hAnsi="Times New Roman"/>
          <w:b/>
          <w:color w:val="000000"/>
          <w:sz w:val="20"/>
        </w:rPr>
        <w:t>Exhibit 32.2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connection with the Quarterly Report on Form 10-Q of PepGen Inc. (the “Company”) for the quarter ended June 30, 2026, as filed with the Securities and Exchange Commission on the date hereof (the “Report”), the undersigned officer of the Company hereby certifies, pursuant to 18 U.S.C. §1350, as adopted pursuant to § 906 of the Sarbanes-Oxley Act of 2002, to the best of my knowledge,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40"/>
        <w:jc w:val="left"/>
        <w:rPr/>
      </w:pPr>
      <w:r>
        <w:rPr/>
        <w:t> </w:t>
      </w:r>
    </w:p>
    <w:tbl>
      <w:tblPr>
        <w:tblW w:w="7398" w:type="dxa"/>
        <w:jc w:val="left"/>
        <w:tblInd w:w="0" w:type="dxa"/>
        <w:tblLayout w:type="fixed"/>
        <w:tblCellMar>
          <w:top w:w="28" w:type="dxa"/>
          <w:left w:w="28" w:type="dxa"/>
          <w:bottom w:w="28" w:type="dxa"/>
          <w:right w:w="28" w:type="dxa"/>
        </w:tblCellMar>
      </w:tblPr>
      <w:tblGrid>
        <w:gridCol w:w="1846"/>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Noel Donnelly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Noel Donnelly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before="120" w:after="24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5597/000095017022011719/pepg-ex3_1.htm" TargetMode="External"/><Relationship Id="rId3" Type="http://schemas.openxmlformats.org/officeDocument/2006/relationships/hyperlink" Target="https://www.sec.gov/Archives/edgar/data/1835597/000095017022024186/pepg-ex3_2.htm" TargetMode="External"/><Relationship Id="rId4" Type="http://schemas.openxmlformats.org/officeDocument/2006/relationships/hyperlink" Target="https://www.sec.gov/ix?doc=/Archives/edgar/data/0001835597/000119312524164587/d660943d8k.htm" TargetMode="External"/><Relationship Id="rId5" Type="http://schemas.openxmlformats.org/officeDocument/2006/relationships/hyperlink" Target="https://www.sec.gov/Archives/edgar/data/1835597/000095017022011719/pepg-ex3_2.htm" TargetMode="External"/><Relationship Id="rId6" Type="http://schemas.openxmlformats.org/officeDocument/2006/relationships/hyperlink" Target="https://www.sec.gov/Archives/edgar/data/1835597/000119312522106884/d235586dex41.htm" TargetMode="External"/><Relationship Id="rId7" Type="http://schemas.openxmlformats.org/officeDocument/2006/relationships/hyperlink" Target="https://www.sec.gov/Archives/edgar/data/1835597/000119312522135245/d235586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72518</Words>
  <Characters>404213</Characters>
  <CharactersWithSpaces>476798</CharactersWithSpaces>
  <Paragraphs>5066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