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600"/>
        <w:spacing w:after="0" w:line="270" w:lineRule="auto"/>
        <w:rPr>
          <w:sz w:val="20"/>
          <w:szCs w:val="20"/>
          <w:color w:val="auto"/>
        </w:rPr>
      </w:pPr>
      <w:r>
        <w:rPr>
          <w:rFonts w:ascii="Arial" w:cs="Arial" w:eastAsia="Arial" w:hAnsi="Arial"/>
          <w:sz w:val="13"/>
          <w:szCs w:val="13"/>
          <w:b w:val="1"/>
          <w:bCs w:val="1"/>
          <w:color w:val="auto"/>
        </w:rPr>
        <w:t>As confidentially submitted to the Securities and Exchange Commission on October 1, 2021. This draft registration statement has not been publicly filed with the Securities and Exchange Commission and all information herein remains confidential.</w:t>
      </w:r>
    </w:p>
    <w:p>
      <w:pPr>
        <w:spacing w:after="0" w:line="1" w:lineRule="exact"/>
        <w:rPr>
          <w:sz w:val="24"/>
          <w:szCs w:val="24"/>
          <w:color w:val="auto"/>
        </w:rPr>
      </w:pPr>
    </w:p>
    <w:p>
      <w:pPr>
        <w:ind w:left="96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59690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55245</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PEPGEN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50165</wp:posOffset>
            </wp:positionV>
            <wp:extent cx="185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61" w:lineRule="exact"/>
        <w:rPr>
          <w:sz w:val="24"/>
          <w:szCs w:val="24"/>
          <w:color w:val="auto"/>
        </w:rPr>
      </w:pPr>
    </w:p>
    <w:p>
      <w:pPr>
        <w:ind w:left="1640"/>
        <w:spacing w:after="0"/>
        <w:rPr>
          <w:sz w:val="20"/>
          <w:szCs w:val="20"/>
          <w:color w:val="auto"/>
        </w:rPr>
      </w:pPr>
      <w:r>
        <w:rPr>
          <w:rFonts w:ascii="Arial" w:cs="Arial" w:eastAsia="Arial" w:hAnsi="Arial"/>
          <w:sz w:val="13"/>
          <w:szCs w:val="13"/>
          <w:b w:val="1"/>
          <w:bCs w:val="1"/>
          <w:color w:val="auto"/>
        </w:rPr>
        <w:t>Delaware</w:t>
      </w:r>
    </w:p>
    <w:p>
      <w:pPr>
        <w:spacing w:after="0" w:line="13" w:lineRule="exact"/>
        <w:rPr>
          <w:sz w:val="24"/>
          <w:szCs w:val="24"/>
          <w:color w:val="auto"/>
        </w:rPr>
      </w:pPr>
    </w:p>
    <w:p>
      <w:pPr>
        <w:ind w:left="1060"/>
        <w:spacing w:after="0"/>
        <w:rPr>
          <w:sz w:val="20"/>
          <w:szCs w:val="20"/>
          <w:color w:val="auto"/>
        </w:rPr>
      </w:pPr>
      <w:r>
        <w:rPr>
          <w:rFonts w:ascii="Arial" w:cs="Arial" w:eastAsia="Arial" w:hAnsi="Arial"/>
          <w:sz w:val="12"/>
          <w:szCs w:val="12"/>
          <w:b w:val="1"/>
          <w:bCs w:val="1"/>
          <w:color w:val="auto"/>
        </w:rPr>
        <w:t>(State or other jurisdiction of</w:t>
      </w:r>
    </w:p>
    <w:p>
      <w:pPr>
        <w:spacing w:after="0" w:line="11" w:lineRule="exact"/>
        <w:rPr>
          <w:sz w:val="24"/>
          <w:szCs w:val="24"/>
          <w:color w:val="auto"/>
        </w:rPr>
      </w:pPr>
    </w:p>
    <w:p>
      <w:pPr>
        <w:ind w:left="10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460"/>
        <w:spacing w:after="0"/>
        <w:rPr>
          <w:sz w:val="20"/>
          <w:szCs w:val="20"/>
          <w:color w:val="auto"/>
        </w:rPr>
      </w:pPr>
      <w:r>
        <w:rPr>
          <w:rFonts w:ascii="Arial" w:cs="Arial" w:eastAsia="Arial" w:hAnsi="Arial"/>
          <w:sz w:val="13"/>
          <w:szCs w:val="13"/>
          <w:b w:val="1"/>
          <w:bCs w:val="1"/>
          <w:color w:val="auto"/>
        </w:rPr>
        <w:t>2834</w:t>
      </w:r>
    </w:p>
    <w:p>
      <w:pPr>
        <w:spacing w:after="0" w:line="13" w:lineRule="exact"/>
        <w:rPr>
          <w:sz w:val="24"/>
          <w:szCs w:val="24"/>
          <w:color w:val="auto"/>
        </w:rPr>
      </w:pPr>
    </w:p>
    <w:p>
      <w:pPr>
        <w:jc w:val="center"/>
        <w:ind w:right="1460"/>
        <w:spacing w:after="0"/>
        <w:rPr>
          <w:sz w:val="20"/>
          <w:szCs w:val="20"/>
          <w:color w:val="auto"/>
        </w:rPr>
      </w:pPr>
      <w:r>
        <w:rPr>
          <w:rFonts w:ascii="Arial" w:cs="Arial" w:eastAsia="Arial" w:hAnsi="Arial"/>
          <w:sz w:val="12"/>
          <w:szCs w:val="12"/>
          <w:b w:val="1"/>
          <w:bCs w:val="1"/>
          <w:color w:val="auto"/>
        </w:rPr>
        <w:t>(Primary Standard Industrial</w:t>
      </w:r>
    </w:p>
    <w:p>
      <w:pPr>
        <w:spacing w:after="0" w:line="11" w:lineRule="exact"/>
        <w:rPr>
          <w:sz w:val="24"/>
          <w:szCs w:val="24"/>
          <w:color w:val="auto"/>
        </w:rPr>
      </w:pPr>
    </w:p>
    <w:p>
      <w:pPr>
        <w:jc w:val="center"/>
        <w:ind w:right="146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85-3819886</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(I.R.S. Employer</w:t>
      </w:r>
    </w:p>
    <w:p>
      <w:pPr>
        <w:jc w:val="center"/>
        <w:ind w:right="1120"/>
        <w:spacing w:after="0"/>
        <w:rPr>
          <w:sz w:val="20"/>
          <w:szCs w:val="20"/>
          <w:color w:val="auto"/>
        </w:rPr>
      </w:pPr>
      <w:r>
        <w:rPr>
          <w:rFonts w:ascii="Arial" w:cs="Arial" w:eastAsia="Arial" w:hAnsi="Arial"/>
          <w:sz w:val="12"/>
          <w:szCs w:val="12"/>
          <w:b w:val="1"/>
          <w:bCs w:val="1"/>
          <w:color w:val="auto"/>
        </w:rPr>
        <w:t>Identification Number)</w:t>
      </w:r>
    </w:p>
    <w:p>
      <w:pPr>
        <w:spacing w:after="0" w:line="51" w:lineRule="exact"/>
        <w:rPr>
          <w:sz w:val="24"/>
          <w:szCs w:val="24"/>
          <w:color w:val="auto"/>
        </w:rPr>
      </w:pPr>
    </w:p>
    <w:p>
      <w:pPr>
        <w:sectPr>
          <w:pgSz w:w="11900" w:h="16838" w:orient="portrait"/>
          <w:cols w:equalWidth="0" w:num="3">
            <w:col w:w="4160" w:space="720"/>
            <w:col w:w="3180" w:space="720"/>
            <w:col w:w="2460"/>
          </w:cols>
          <w:pgMar w:left="320" w:top="230" w:right="339" w:bottom="1440" w:gutter="0" w:footer="0" w:header="0"/>
          <w:type w:val="continuous"/>
        </w:sectPr>
      </w:pPr>
    </w:p>
    <w:p>
      <w:pPr>
        <w:ind w:left="5160"/>
        <w:spacing w:after="0"/>
        <w:rPr>
          <w:sz w:val="20"/>
          <w:szCs w:val="20"/>
          <w:color w:val="auto"/>
        </w:rPr>
      </w:pPr>
      <w:r>
        <w:rPr>
          <w:rFonts w:ascii="Arial" w:cs="Arial" w:eastAsia="Arial" w:hAnsi="Arial"/>
          <w:sz w:val="13"/>
          <w:szCs w:val="13"/>
          <w:b w:val="1"/>
          <w:bCs w:val="1"/>
          <w:color w:val="auto"/>
        </w:rPr>
        <w:t>245 Main Street</w:t>
      </w:r>
    </w:p>
    <w:p>
      <w:pPr>
        <w:spacing w:after="0" w:line="13" w:lineRule="exact"/>
        <w:rPr>
          <w:sz w:val="24"/>
          <w:szCs w:val="24"/>
          <w:color w:val="auto"/>
        </w:rPr>
      </w:pPr>
    </w:p>
    <w:p>
      <w:pPr>
        <w:ind w:left="4840"/>
        <w:spacing w:after="0"/>
        <w:rPr>
          <w:sz w:val="20"/>
          <w:szCs w:val="20"/>
          <w:color w:val="auto"/>
        </w:rPr>
      </w:pPr>
      <w:r>
        <w:rPr>
          <w:rFonts w:ascii="Arial" w:cs="Arial" w:eastAsia="Arial" w:hAnsi="Arial"/>
          <w:sz w:val="12"/>
          <w:szCs w:val="12"/>
          <w:b w:val="1"/>
          <w:bCs w:val="1"/>
          <w:color w:val="auto"/>
        </w:rPr>
        <w:t>Cambridge, Massachusetts</w:t>
      </w:r>
    </w:p>
    <w:p>
      <w:pPr>
        <w:spacing w:after="0" w:line="10" w:lineRule="exact"/>
        <w:rPr>
          <w:sz w:val="24"/>
          <w:szCs w:val="24"/>
          <w:color w:val="auto"/>
        </w:rPr>
      </w:pPr>
    </w:p>
    <w:p>
      <w:pPr>
        <w:ind w:left="5460"/>
        <w:spacing w:after="0"/>
        <w:rPr>
          <w:sz w:val="20"/>
          <w:szCs w:val="20"/>
          <w:color w:val="auto"/>
        </w:rPr>
      </w:pPr>
      <w:r>
        <w:rPr>
          <w:rFonts w:ascii="Arial" w:cs="Arial" w:eastAsia="Arial" w:hAnsi="Arial"/>
          <w:sz w:val="13"/>
          <w:szCs w:val="13"/>
          <w:b w:val="1"/>
          <w:bCs w:val="1"/>
          <w:color w:val="auto"/>
        </w:rPr>
        <w:t>02142</w:t>
      </w:r>
    </w:p>
    <w:p>
      <w:pPr>
        <w:ind w:left="5200"/>
        <w:spacing w:after="0"/>
        <w:rPr>
          <w:sz w:val="20"/>
          <w:szCs w:val="20"/>
          <w:color w:val="auto"/>
        </w:rPr>
      </w:pPr>
      <w:r>
        <w:rPr>
          <w:rFonts w:ascii="Arial" w:cs="Arial" w:eastAsia="Arial" w:hAnsi="Arial"/>
          <w:sz w:val="13"/>
          <w:szCs w:val="13"/>
          <w:b w:val="1"/>
          <w:bCs w:val="1"/>
          <w:color w:val="auto"/>
        </w:rPr>
        <w:t>(781) 797-0979</w:t>
      </w:r>
    </w:p>
    <w:p>
      <w:pPr>
        <w:sectPr>
          <w:pgSz w:w="11900" w:h="16838" w:orient="portrait"/>
          <w:cols w:equalWidth="0" w:num="1">
            <w:col w:w="11240"/>
          </w:cols>
          <w:pgMar w:left="320" w:top="230" w:right="339" w:bottom="1440" w:gutter="0" w:footer="0" w:header="0"/>
          <w:type w:val="continuous"/>
        </w:sectPr>
      </w:pPr>
    </w:p>
    <w:p>
      <w:pPr>
        <w:spacing w:after="0" w:line="10" w:lineRule="exact"/>
        <w:rPr>
          <w:sz w:val="24"/>
          <w:szCs w:val="24"/>
          <w:color w:val="auto"/>
        </w:rPr>
      </w:pPr>
    </w:p>
    <w:p>
      <w:pPr>
        <w:ind w:left="232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52070</wp:posOffset>
            </wp:positionV>
            <wp:extent cx="1851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03" w:lineRule="exact"/>
        <w:rPr>
          <w:sz w:val="24"/>
          <w:szCs w:val="24"/>
          <w:color w:val="auto"/>
        </w:rPr>
      </w:pPr>
    </w:p>
    <w:p>
      <w:pPr>
        <w:ind w:left="4940"/>
        <w:spacing w:after="0"/>
        <w:rPr>
          <w:sz w:val="20"/>
          <w:szCs w:val="20"/>
          <w:color w:val="auto"/>
        </w:rPr>
      </w:pPr>
      <w:r>
        <w:rPr>
          <w:rFonts w:ascii="Arial" w:cs="Arial" w:eastAsia="Arial" w:hAnsi="Arial"/>
          <w:sz w:val="13"/>
          <w:szCs w:val="13"/>
          <w:b w:val="1"/>
          <w:bCs w:val="1"/>
          <w:color w:val="auto"/>
        </w:rPr>
        <w:t>James McArthur, Ph.D.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President and Chief Executive Officer</w:t>
      </w:r>
    </w:p>
    <w:p>
      <w:pPr>
        <w:jc w:val="center"/>
        <w:spacing w:after="0"/>
        <w:rPr>
          <w:sz w:val="20"/>
          <w:szCs w:val="20"/>
          <w:color w:val="auto"/>
        </w:rPr>
      </w:pPr>
      <w:r>
        <w:rPr>
          <w:rFonts w:ascii="Arial" w:cs="Arial" w:eastAsia="Arial" w:hAnsi="Arial"/>
          <w:sz w:val="13"/>
          <w:szCs w:val="13"/>
          <w:b w:val="1"/>
          <w:bCs w:val="1"/>
          <w:color w:val="auto"/>
        </w:rPr>
        <w:t>PepGen Inc.</w:t>
      </w:r>
    </w:p>
    <w:p>
      <w:pPr>
        <w:jc w:val="center"/>
        <w:spacing w:after="0"/>
        <w:rPr>
          <w:sz w:val="20"/>
          <w:szCs w:val="20"/>
          <w:color w:val="auto"/>
        </w:rPr>
      </w:pPr>
      <w:r>
        <w:rPr>
          <w:rFonts w:ascii="Arial" w:cs="Arial" w:eastAsia="Arial" w:hAnsi="Arial"/>
          <w:sz w:val="13"/>
          <w:szCs w:val="13"/>
          <w:b w:val="1"/>
          <w:bCs w:val="1"/>
          <w:color w:val="auto"/>
        </w:rPr>
        <w:t>245 Main Street</w:t>
      </w:r>
    </w:p>
    <w:p>
      <w:pPr>
        <w:jc w:val="center"/>
        <w:spacing w:after="0"/>
        <w:rPr>
          <w:sz w:val="20"/>
          <w:szCs w:val="20"/>
          <w:color w:val="auto"/>
        </w:rPr>
      </w:pPr>
      <w:r>
        <w:rPr>
          <w:rFonts w:ascii="Arial" w:cs="Arial" w:eastAsia="Arial" w:hAnsi="Arial"/>
          <w:sz w:val="13"/>
          <w:szCs w:val="13"/>
          <w:b w:val="1"/>
          <w:bCs w:val="1"/>
          <w:color w:val="auto"/>
        </w:rPr>
        <w:t>Cambridge, Massachusetts 02142</w:t>
      </w:r>
    </w:p>
    <w:p>
      <w:pPr>
        <w:jc w:val="center"/>
        <w:spacing w:after="0"/>
        <w:rPr>
          <w:sz w:val="20"/>
          <w:szCs w:val="20"/>
          <w:color w:val="auto"/>
        </w:rPr>
      </w:pPr>
      <w:r>
        <w:rPr>
          <w:rFonts w:ascii="Arial" w:cs="Arial" w:eastAsia="Arial" w:hAnsi="Arial"/>
          <w:sz w:val="13"/>
          <w:szCs w:val="13"/>
          <w:b w:val="1"/>
          <w:bCs w:val="1"/>
          <w:color w:val="auto"/>
        </w:rPr>
        <w:t>(781) 797-0979</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58420</wp:posOffset>
            </wp:positionV>
            <wp:extent cx="1851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6" w:lineRule="exact"/>
        <w:rPr>
          <w:sz w:val="24"/>
          <w:szCs w:val="24"/>
          <w:color w:val="auto"/>
        </w:rPr>
      </w:pPr>
    </w:p>
    <w:tbl>
      <w:tblPr>
        <w:tblLayout w:type="fixed"/>
        <w:tblInd w:w="1980" w:type="dxa"/>
        <w:tblCellMar>
          <w:top w:w="0" w:type="dxa"/>
          <w:left w:w="0" w:type="dxa"/>
          <w:bottom w:w="0" w:type="dxa"/>
          <w:right w:w="0" w:type="dxa"/>
        </w:tblCellMar>
      </w:tblPr>
      <w:tr>
        <w:trPr>
          <w:trHeight w:val="172"/>
        </w:trPr>
        <w:tc>
          <w:tcPr>
            <w:tcW w:w="2520" w:type="dxa"/>
            <w:vAlign w:val="bottom"/>
          </w:tcPr>
          <w:p>
            <w:pPr>
              <w:spacing w:after="0"/>
              <w:rPr>
                <w:sz w:val="14"/>
                <w:szCs w:val="14"/>
                <w:color w:val="auto"/>
              </w:rPr>
            </w:pPr>
          </w:p>
        </w:tc>
        <w:tc>
          <w:tcPr>
            <w:tcW w:w="4820" w:type="dxa"/>
            <w:vAlign w:val="bottom"/>
          </w:tcPr>
          <w:p>
            <w:pPr>
              <w:ind w:left="840"/>
              <w:spacing w:after="0"/>
              <w:rPr>
                <w:sz w:val="20"/>
                <w:szCs w:val="20"/>
                <w:color w:val="auto"/>
              </w:rPr>
            </w:pPr>
            <w:r>
              <w:rPr>
                <w:rFonts w:ascii="Arial" w:cs="Arial" w:eastAsia="Arial" w:hAnsi="Arial"/>
                <w:sz w:val="13"/>
                <w:szCs w:val="13"/>
                <w:b w:val="1"/>
                <w:bCs w:val="1"/>
                <w:i w:val="1"/>
                <w:iCs w:val="1"/>
                <w:color w:val="auto"/>
              </w:rPr>
              <w:t>Copies to:</w:t>
            </w:r>
          </w:p>
        </w:tc>
      </w:tr>
      <w:tr>
        <w:trPr>
          <w:trHeight w:val="177"/>
        </w:trPr>
        <w:tc>
          <w:tcPr>
            <w:tcW w:w="2520" w:type="dxa"/>
            <w:vAlign w:val="bottom"/>
          </w:tcPr>
          <w:p>
            <w:pPr>
              <w:jc w:val="center"/>
              <w:ind w:right="753"/>
              <w:spacing w:after="0"/>
              <w:rPr>
                <w:sz w:val="20"/>
                <w:szCs w:val="20"/>
                <w:color w:val="auto"/>
              </w:rPr>
            </w:pPr>
            <w:r>
              <w:rPr>
                <w:rFonts w:ascii="Arial" w:cs="Arial" w:eastAsia="Arial" w:hAnsi="Arial"/>
                <w:sz w:val="13"/>
                <w:szCs w:val="13"/>
                <w:b w:val="1"/>
                <w:bCs w:val="1"/>
                <w:color w:val="auto"/>
                <w:w w:val="96"/>
              </w:rPr>
              <w:t>Richard Hoffman, Esq.</w:t>
            </w:r>
          </w:p>
        </w:tc>
        <w:tc>
          <w:tcPr>
            <w:tcW w:w="4820" w:type="dxa"/>
            <w:vAlign w:val="bottom"/>
          </w:tcPr>
          <w:p>
            <w:pPr>
              <w:jc w:val="center"/>
              <w:ind w:left="3093"/>
              <w:spacing w:after="0"/>
              <w:rPr>
                <w:sz w:val="20"/>
                <w:szCs w:val="20"/>
                <w:color w:val="auto"/>
              </w:rPr>
            </w:pPr>
            <w:r>
              <w:rPr>
                <w:rFonts w:ascii="Arial" w:cs="Arial" w:eastAsia="Arial" w:hAnsi="Arial"/>
                <w:sz w:val="13"/>
                <w:szCs w:val="13"/>
                <w:b w:val="1"/>
                <w:bCs w:val="1"/>
                <w:color w:val="auto"/>
                <w:w w:val="96"/>
              </w:rPr>
              <w:t>Nathan Ajiashvili, Esq.</w:t>
            </w:r>
          </w:p>
        </w:tc>
      </w:tr>
      <w:tr>
        <w:trPr>
          <w:trHeight w:val="148"/>
        </w:trPr>
        <w:tc>
          <w:tcPr>
            <w:tcW w:w="2520" w:type="dxa"/>
            <w:vAlign w:val="bottom"/>
          </w:tcPr>
          <w:p>
            <w:pPr>
              <w:jc w:val="center"/>
              <w:ind w:right="773"/>
              <w:spacing w:after="0"/>
              <w:rPr>
                <w:sz w:val="20"/>
                <w:szCs w:val="20"/>
                <w:color w:val="auto"/>
              </w:rPr>
            </w:pPr>
            <w:r>
              <w:rPr>
                <w:rFonts w:ascii="Arial" w:cs="Arial" w:eastAsia="Arial" w:hAnsi="Arial"/>
                <w:sz w:val="13"/>
                <w:szCs w:val="13"/>
                <w:b w:val="1"/>
                <w:bCs w:val="1"/>
                <w:color w:val="auto"/>
                <w:w w:val="92"/>
              </w:rPr>
              <w:t>James Xu, Esq.</w:t>
            </w:r>
          </w:p>
        </w:tc>
        <w:tc>
          <w:tcPr>
            <w:tcW w:w="4820" w:type="dxa"/>
            <w:vAlign w:val="bottom"/>
          </w:tcPr>
          <w:p>
            <w:pPr>
              <w:jc w:val="center"/>
              <w:ind w:left="3093"/>
              <w:spacing w:after="0"/>
              <w:rPr>
                <w:sz w:val="20"/>
                <w:szCs w:val="20"/>
                <w:color w:val="auto"/>
              </w:rPr>
            </w:pPr>
            <w:r>
              <w:rPr>
                <w:rFonts w:ascii="Arial" w:cs="Arial" w:eastAsia="Arial" w:hAnsi="Arial"/>
                <w:sz w:val="13"/>
                <w:szCs w:val="13"/>
                <w:b w:val="1"/>
                <w:bCs w:val="1"/>
                <w:color w:val="auto"/>
                <w:w w:val="93"/>
              </w:rPr>
              <w:t>Alison Haggerty, Esq.</w:t>
            </w:r>
          </w:p>
        </w:tc>
      </w:tr>
      <w:tr>
        <w:trPr>
          <w:trHeight w:val="149"/>
        </w:trPr>
        <w:tc>
          <w:tcPr>
            <w:tcW w:w="2520" w:type="dxa"/>
            <w:vAlign w:val="bottom"/>
          </w:tcPr>
          <w:p>
            <w:pPr>
              <w:jc w:val="center"/>
              <w:ind w:right="753"/>
              <w:spacing w:after="0"/>
              <w:rPr>
                <w:sz w:val="20"/>
                <w:szCs w:val="20"/>
                <w:color w:val="auto"/>
              </w:rPr>
            </w:pPr>
            <w:r>
              <w:rPr>
                <w:rFonts w:ascii="Arial" w:cs="Arial" w:eastAsia="Arial" w:hAnsi="Arial"/>
                <w:sz w:val="13"/>
                <w:szCs w:val="13"/>
                <w:b w:val="1"/>
                <w:bCs w:val="1"/>
                <w:color w:val="auto"/>
                <w:w w:val="95"/>
              </w:rPr>
              <w:t>Alicia Tschirhart, Esq.</w:t>
            </w:r>
          </w:p>
        </w:tc>
        <w:tc>
          <w:tcPr>
            <w:tcW w:w="4820" w:type="dxa"/>
            <w:vAlign w:val="bottom"/>
          </w:tcPr>
          <w:p>
            <w:pPr>
              <w:jc w:val="center"/>
              <w:ind w:left="3093"/>
              <w:spacing w:after="0"/>
              <w:rPr>
                <w:sz w:val="20"/>
                <w:szCs w:val="20"/>
                <w:color w:val="auto"/>
              </w:rPr>
            </w:pPr>
            <w:r>
              <w:rPr>
                <w:rFonts w:ascii="Arial" w:cs="Arial" w:eastAsia="Arial" w:hAnsi="Arial"/>
                <w:sz w:val="13"/>
                <w:szCs w:val="13"/>
                <w:b w:val="1"/>
                <w:bCs w:val="1"/>
                <w:color w:val="auto"/>
              </w:rPr>
              <w:t>Latham &amp; Watkins LLP</w:t>
            </w:r>
          </w:p>
        </w:tc>
      </w:tr>
      <w:tr>
        <w:trPr>
          <w:trHeight w:val="148"/>
        </w:trPr>
        <w:tc>
          <w:tcPr>
            <w:tcW w:w="2520" w:type="dxa"/>
            <w:vAlign w:val="bottom"/>
          </w:tcPr>
          <w:p>
            <w:pPr>
              <w:jc w:val="center"/>
              <w:ind w:right="773"/>
              <w:spacing w:after="0"/>
              <w:rPr>
                <w:sz w:val="20"/>
                <w:szCs w:val="20"/>
                <w:color w:val="auto"/>
              </w:rPr>
            </w:pPr>
            <w:r>
              <w:rPr>
                <w:rFonts w:ascii="Arial" w:cs="Arial" w:eastAsia="Arial" w:hAnsi="Arial"/>
                <w:sz w:val="13"/>
                <w:szCs w:val="13"/>
                <w:b w:val="1"/>
                <w:bCs w:val="1"/>
                <w:color w:val="auto"/>
                <w:w w:val="96"/>
              </w:rPr>
              <w:t>Goodwin Procter LLP</w:t>
            </w:r>
          </w:p>
        </w:tc>
        <w:tc>
          <w:tcPr>
            <w:tcW w:w="4820" w:type="dxa"/>
            <w:vAlign w:val="bottom"/>
          </w:tcPr>
          <w:p>
            <w:pPr>
              <w:jc w:val="center"/>
              <w:ind w:left="3093"/>
              <w:spacing w:after="0"/>
              <w:rPr>
                <w:sz w:val="20"/>
                <w:szCs w:val="20"/>
                <w:color w:val="auto"/>
              </w:rPr>
            </w:pPr>
            <w:r>
              <w:rPr>
                <w:rFonts w:ascii="Arial" w:cs="Arial" w:eastAsia="Arial" w:hAnsi="Arial"/>
                <w:sz w:val="13"/>
                <w:szCs w:val="13"/>
                <w:b w:val="1"/>
                <w:bCs w:val="1"/>
                <w:color w:val="auto"/>
                <w:w w:val="91"/>
              </w:rPr>
              <w:t>1271 Avenue of the Americas</w:t>
            </w:r>
          </w:p>
        </w:tc>
      </w:tr>
      <w:tr>
        <w:trPr>
          <w:trHeight w:val="149"/>
        </w:trPr>
        <w:tc>
          <w:tcPr>
            <w:tcW w:w="2520" w:type="dxa"/>
            <w:vAlign w:val="bottom"/>
          </w:tcPr>
          <w:p>
            <w:pPr>
              <w:jc w:val="center"/>
              <w:ind w:right="773"/>
              <w:spacing w:after="0"/>
              <w:rPr>
                <w:sz w:val="20"/>
                <w:szCs w:val="20"/>
                <w:color w:val="auto"/>
              </w:rPr>
            </w:pPr>
            <w:r>
              <w:rPr>
                <w:rFonts w:ascii="Arial" w:cs="Arial" w:eastAsia="Arial" w:hAnsi="Arial"/>
                <w:sz w:val="13"/>
                <w:szCs w:val="13"/>
                <w:b w:val="1"/>
                <w:bCs w:val="1"/>
                <w:color w:val="auto"/>
                <w:w w:val="94"/>
              </w:rPr>
              <w:t>100 Northern Avenue</w:t>
            </w:r>
          </w:p>
        </w:tc>
        <w:tc>
          <w:tcPr>
            <w:tcW w:w="4820" w:type="dxa"/>
            <w:vAlign w:val="bottom"/>
          </w:tcPr>
          <w:p>
            <w:pPr>
              <w:jc w:val="center"/>
              <w:ind w:left="3093"/>
              <w:spacing w:after="0"/>
              <w:rPr>
                <w:sz w:val="20"/>
                <w:szCs w:val="20"/>
                <w:color w:val="auto"/>
              </w:rPr>
            </w:pPr>
            <w:r>
              <w:rPr>
                <w:rFonts w:ascii="Arial" w:cs="Arial" w:eastAsia="Arial" w:hAnsi="Arial"/>
                <w:sz w:val="13"/>
                <w:szCs w:val="13"/>
                <w:b w:val="1"/>
                <w:bCs w:val="1"/>
                <w:color w:val="auto"/>
                <w:w w:val="95"/>
              </w:rPr>
              <w:t>New York, New York 10020</w:t>
            </w:r>
          </w:p>
        </w:tc>
      </w:tr>
      <w:tr>
        <w:trPr>
          <w:trHeight w:val="148"/>
        </w:trPr>
        <w:tc>
          <w:tcPr>
            <w:tcW w:w="2520" w:type="dxa"/>
            <w:vAlign w:val="bottom"/>
          </w:tcPr>
          <w:p>
            <w:pPr>
              <w:jc w:val="center"/>
              <w:ind w:right="773"/>
              <w:spacing w:after="0"/>
              <w:rPr>
                <w:sz w:val="20"/>
                <w:szCs w:val="20"/>
                <w:color w:val="auto"/>
              </w:rPr>
            </w:pPr>
            <w:r>
              <w:rPr>
                <w:rFonts w:ascii="Arial" w:cs="Arial" w:eastAsia="Arial" w:hAnsi="Arial"/>
                <w:sz w:val="13"/>
                <w:szCs w:val="13"/>
                <w:b w:val="1"/>
                <w:bCs w:val="1"/>
                <w:color w:val="auto"/>
                <w:w w:val="90"/>
              </w:rPr>
              <w:t>Boston, Massachusetts 02210</w:t>
            </w:r>
          </w:p>
        </w:tc>
        <w:tc>
          <w:tcPr>
            <w:tcW w:w="4820" w:type="dxa"/>
            <w:vAlign w:val="bottom"/>
          </w:tcPr>
          <w:p>
            <w:pPr>
              <w:jc w:val="center"/>
              <w:ind w:left="3113"/>
              <w:spacing w:after="0"/>
              <w:rPr>
                <w:sz w:val="20"/>
                <w:szCs w:val="20"/>
                <w:color w:val="auto"/>
              </w:rPr>
            </w:pPr>
            <w:r>
              <w:rPr>
                <w:rFonts w:ascii="Arial" w:cs="Arial" w:eastAsia="Arial" w:hAnsi="Arial"/>
                <w:sz w:val="13"/>
                <w:szCs w:val="13"/>
                <w:b w:val="1"/>
                <w:bCs w:val="1"/>
                <w:color w:val="auto"/>
                <w:w w:val="94"/>
              </w:rPr>
              <w:t>(212) 906-1200</w:t>
            </w:r>
          </w:p>
        </w:tc>
      </w:tr>
      <w:tr>
        <w:trPr>
          <w:trHeight w:val="174"/>
        </w:trPr>
        <w:tc>
          <w:tcPr>
            <w:tcW w:w="2520" w:type="dxa"/>
            <w:vAlign w:val="bottom"/>
          </w:tcPr>
          <w:p>
            <w:pPr>
              <w:jc w:val="center"/>
              <w:ind w:right="773"/>
              <w:spacing w:after="0"/>
              <w:rPr>
                <w:sz w:val="20"/>
                <w:szCs w:val="20"/>
                <w:color w:val="auto"/>
              </w:rPr>
            </w:pPr>
            <w:r>
              <w:rPr>
                <w:rFonts w:ascii="Arial" w:cs="Arial" w:eastAsia="Arial" w:hAnsi="Arial"/>
                <w:sz w:val="13"/>
                <w:szCs w:val="13"/>
                <w:b w:val="1"/>
                <w:bCs w:val="1"/>
                <w:color w:val="auto"/>
                <w:w w:val="94"/>
              </w:rPr>
              <w:t>(617) 570-1000</w:t>
            </w:r>
          </w:p>
        </w:tc>
        <w:tc>
          <w:tcPr>
            <w:tcW w:w="48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51435</wp:posOffset>
            </wp:positionV>
            <wp:extent cx="185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03" w:lineRule="exact"/>
        <w:rPr>
          <w:sz w:val="24"/>
          <w:szCs w:val="24"/>
          <w:color w:val="auto"/>
        </w:rPr>
      </w:pPr>
    </w:p>
    <w:p>
      <w:pPr>
        <w:ind w:left="46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42" w:lineRule="exact"/>
        <w:rPr>
          <w:sz w:val="24"/>
          <w:szCs w:val="24"/>
          <w:color w:val="auto"/>
        </w:rPr>
      </w:pPr>
    </w:p>
    <w:p>
      <w:pPr>
        <w:ind w:left="46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as amended, check the following</w:t>
      </w:r>
    </w:p>
    <w:p>
      <w:pPr>
        <w:spacing w:after="0" w:line="1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box. </w:t>
      </w:r>
      <w:r>
        <w:rPr>
          <w:rFonts w:ascii="MS PGothic" w:cs="MS PGothic" w:eastAsia="MS PGothic" w:hAnsi="MS PGothic"/>
          <w:sz w:val="13"/>
          <w:szCs w:val="13"/>
          <w:color w:val="auto"/>
        </w:rPr>
        <w:t>☐</w:t>
      </w:r>
    </w:p>
    <w:p>
      <w:pPr>
        <w:spacing w:after="0" w:line="33" w:lineRule="exact"/>
        <w:rPr>
          <w:sz w:val="24"/>
          <w:szCs w:val="24"/>
          <w:color w:val="auto"/>
        </w:rPr>
      </w:pPr>
    </w:p>
    <w:p>
      <w:pPr>
        <w:ind w:right="200" w:firstLine="449"/>
        <w:spacing w:after="0" w:line="16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right="380" w:firstLine="449"/>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right="380" w:firstLine="449"/>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right="60" w:firstLine="449"/>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8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320" w:type="dxa"/>
            <w:vAlign w:val="bottom"/>
          </w:tcPr>
          <w:p>
            <w:pPr>
              <w:ind w:left="344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1580" w:type="dxa"/>
            <w:vAlign w:val="bottom"/>
          </w:tcPr>
          <w:p>
            <w:pPr>
              <w:spacing w:after="0"/>
              <w:rPr>
                <w:sz w:val="20"/>
                <w:szCs w:val="20"/>
                <w:color w:val="auto"/>
              </w:rPr>
            </w:pPr>
            <w:r>
              <w:rPr>
                <w:rFonts w:ascii="Arial" w:cs="Arial" w:eastAsia="Arial" w:hAnsi="Arial"/>
                <w:sz w:val="13"/>
                <w:szCs w:val="13"/>
                <w:color w:val="auto"/>
              </w:rPr>
              <w:t>Non-Accelerated Filer</w:t>
            </w:r>
          </w:p>
        </w:tc>
        <w:tc>
          <w:tcPr>
            <w:tcW w:w="388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320" w:type="dxa"/>
            <w:vAlign w:val="bottom"/>
          </w:tcPr>
          <w:p>
            <w:pPr>
              <w:ind w:left="344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320" w:type="dxa"/>
            <w:vAlign w:val="bottom"/>
          </w:tcPr>
          <w:p>
            <w:pPr>
              <w:ind w:left="3440"/>
              <w:spacing w:after="0"/>
              <w:rPr>
                <w:sz w:val="20"/>
                <w:szCs w:val="20"/>
                <w:color w:val="auto"/>
              </w:rPr>
            </w:pPr>
            <w:r>
              <w:rPr>
                <w:rFonts w:ascii="Arial" w:cs="Arial" w:eastAsia="Arial" w:hAnsi="Arial"/>
                <w:sz w:val="13"/>
                <w:szCs w:val="13"/>
                <w:color w:val="auto"/>
              </w:rPr>
              <w:t>Emerging Growth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 w:lineRule="exact"/>
        <w:rPr>
          <w:sz w:val="24"/>
          <w:szCs w:val="24"/>
          <w:color w:val="auto"/>
        </w:rPr>
      </w:pPr>
    </w:p>
    <w:p>
      <w:pPr>
        <w:ind w:right="240" w:firstLine="449"/>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43180</wp:posOffset>
            </wp:positionV>
            <wp:extent cx="1851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r>
      <w:tr>
        <w:trPr>
          <w:trHeight w:val="116"/>
        </w:trPr>
        <w:tc>
          <w:tcPr>
            <w:tcW w:w="79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jc w:val="center"/>
              <w:ind w:left="33"/>
              <w:spacing w:after="0" w:line="116" w:lineRule="exact"/>
              <w:rPr>
                <w:sz w:val="20"/>
                <w:szCs w:val="20"/>
                <w:color w:val="auto"/>
              </w:rPr>
            </w:pPr>
            <w:r>
              <w:rPr>
                <w:rFonts w:ascii="Arial" w:cs="Arial" w:eastAsia="Arial" w:hAnsi="Arial"/>
                <w:sz w:val="13"/>
                <w:szCs w:val="13"/>
                <w:b w:val="1"/>
                <w:bCs w:val="1"/>
                <w:color w:val="auto"/>
                <w:w w:val="89"/>
              </w:rPr>
              <w:t>Proposed</w:t>
            </w:r>
          </w:p>
        </w:tc>
        <w:tc>
          <w:tcPr>
            <w:tcW w:w="1660" w:type="dxa"/>
            <w:vAlign w:val="bottom"/>
          </w:tcPr>
          <w:p>
            <w:pPr>
              <w:spacing w:after="0"/>
              <w:rPr>
                <w:sz w:val="10"/>
                <w:szCs w:val="10"/>
                <w:color w:val="auto"/>
              </w:rPr>
            </w:pPr>
          </w:p>
        </w:tc>
      </w:tr>
      <w:tr>
        <w:trPr>
          <w:trHeight w:val="148"/>
        </w:trPr>
        <w:tc>
          <w:tcPr>
            <w:tcW w:w="79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99"/>
              </w:rPr>
              <w:t>Maximum</w:t>
            </w:r>
          </w:p>
        </w:tc>
        <w:tc>
          <w:tcPr>
            <w:tcW w:w="1660" w:type="dxa"/>
            <w:vAlign w:val="bottom"/>
          </w:tcPr>
          <w:p>
            <w:pPr>
              <w:spacing w:after="0"/>
              <w:rPr>
                <w:sz w:val="12"/>
                <w:szCs w:val="12"/>
                <w:color w:val="auto"/>
              </w:rPr>
            </w:pPr>
          </w:p>
        </w:tc>
      </w:tr>
      <w:tr>
        <w:trPr>
          <w:trHeight w:val="149"/>
        </w:trPr>
        <w:tc>
          <w:tcPr>
            <w:tcW w:w="7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Title of each Class of</w:t>
            </w:r>
          </w:p>
        </w:tc>
        <w:tc>
          <w:tcPr>
            <w:tcW w:w="1680" w:type="dxa"/>
            <w:vAlign w:val="bottom"/>
            <w:tcBorders>
              <w:right w:val="single" w:sz="8" w:color="auto"/>
            </w:tcBorders>
          </w:tcPr>
          <w:p>
            <w:pPr>
              <w:jc w:val="center"/>
              <w:ind w:left="13"/>
              <w:spacing w:after="0"/>
              <w:rPr>
                <w:sz w:val="20"/>
                <w:szCs w:val="20"/>
                <w:color w:val="auto"/>
              </w:rPr>
            </w:pPr>
            <w:r>
              <w:rPr>
                <w:rFonts w:ascii="Arial" w:cs="Arial" w:eastAsia="Arial" w:hAnsi="Arial"/>
                <w:sz w:val="13"/>
                <w:szCs w:val="13"/>
                <w:b w:val="1"/>
                <w:bCs w:val="1"/>
                <w:color w:val="auto"/>
                <w:w w:val="93"/>
              </w:rPr>
              <w:t>Aggregate</w:t>
            </w:r>
          </w:p>
        </w:tc>
        <w:tc>
          <w:tcPr>
            <w:tcW w:w="1660" w:type="dxa"/>
            <w:vAlign w:val="bottom"/>
          </w:tcPr>
          <w:p>
            <w:pPr>
              <w:jc w:val="center"/>
              <w:ind w:left="13"/>
              <w:spacing w:after="0"/>
              <w:rPr>
                <w:sz w:val="20"/>
                <w:szCs w:val="20"/>
                <w:color w:val="auto"/>
              </w:rPr>
            </w:pPr>
            <w:r>
              <w:rPr>
                <w:rFonts w:ascii="Arial" w:cs="Arial" w:eastAsia="Arial" w:hAnsi="Arial"/>
                <w:sz w:val="13"/>
                <w:szCs w:val="13"/>
                <w:b w:val="1"/>
                <w:bCs w:val="1"/>
                <w:color w:val="auto"/>
                <w:w w:val="95"/>
              </w:rPr>
              <w:t>Amount of</w:t>
            </w:r>
          </w:p>
        </w:tc>
      </w:tr>
      <w:tr>
        <w:trPr>
          <w:trHeight w:val="175"/>
        </w:trPr>
        <w:tc>
          <w:tcPr>
            <w:tcW w:w="7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Securities to be Registered</w:t>
            </w:r>
          </w:p>
        </w:tc>
        <w:tc>
          <w:tcPr>
            <w:tcW w:w="168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6"/>
              </w:rPr>
              <w:t>Offering Price(1)(2)</w:t>
            </w:r>
          </w:p>
        </w:tc>
        <w:tc>
          <w:tcPr>
            <w:tcW w:w="166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4"/>
              </w:rPr>
              <w:t>Registration Fee</w:t>
            </w:r>
          </w:p>
        </w:tc>
      </w:tr>
      <w:tr>
        <w:trPr>
          <w:trHeight w:val="142"/>
        </w:trPr>
        <w:tc>
          <w:tcPr>
            <w:tcW w:w="790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3"/>
                <w:szCs w:val="13"/>
                <w:color w:val="auto"/>
              </w:rPr>
              <w:t>Common Stock, par value $0.0001 per share</w:t>
            </w:r>
          </w:p>
        </w:tc>
        <w:tc>
          <w:tcPr>
            <w:tcW w:w="1680" w:type="dxa"/>
            <w:vAlign w:val="bottom"/>
            <w:tcBorders>
              <w:bottom w:val="single" w:sz="8" w:color="auto"/>
              <w:right w:val="single" w:sz="8" w:color="auto"/>
            </w:tcBorders>
          </w:tcPr>
          <w:p>
            <w:pPr>
              <w:jc w:val="right"/>
              <w:ind w:right="893"/>
              <w:spacing w:after="0" w:line="143" w:lineRule="exact"/>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tcPr>
          <w:p>
            <w:pPr>
              <w:jc w:val="right"/>
              <w:ind w:right="893"/>
              <w:spacing w:after="0" w:line="143" w:lineRule="exact"/>
              <w:rPr>
                <w:sz w:val="20"/>
                <w:szCs w:val="20"/>
                <w:color w:val="auto"/>
              </w:rPr>
            </w:pPr>
            <w:r>
              <w:rPr>
                <w:rFonts w:ascii="Arial" w:cs="Arial" w:eastAsia="Arial" w:hAnsi="Arial"/>
                <w:sz w:val="13"/>
                <w:szCs w:val="13"/>
                <w:color w:val="auto"/>
              </w:rPr>
              <w:t>$</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pacing w:after="0" w:line="11" w:lineRule="exact"/>
        <w:rPr>
          <w:rFonts w:ascii="Arial" w:cs="Arial" w:eastAsia="Arial" w:hAnsi="Arial"/>
          <w:sz w:val="13"/>
          <w:szCs w:val="13"/>
          <w:color w:val="auto"/>
        </w:rPr>
      </w:pPr>
    </w:p>
    <w:p>
      <w:pPr>
        <w:ind w:left="440" w:hanging="432"/>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offering price of shares that the underwriters may purchase pursuant to an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58420</wp:posOffset>
            </wp:positionV>
            <wp:extent cx="185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4" w:lineRule="exact"/>
        <w:rPr>
          <w:sz w:val="24"/>
          <w:szCs w:val="24"/>
          <w:color w:val="auto"/>
        </w:rPr>
      </w:pPr>
    </w:p>
    <w:p>
      <w:pPr>
        <w:ind w:right="260" w:firstLine="449"/>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This registration statement excludes certain information in the sections titled “The Offering,” “Summary Financial Data,” “Capitalization” and “Dilution” concerning PepGen Inc.’s July 2021 Series B preferred stock financing. Such information will be included in PepGen Inc.’s results of operations for the period ending September 30, 2021 in a subsequent amendment to this registration statement.</w:t>
      </w:r>
    </w:p>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C2112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9" w:lineRule="exact"/>
        <w:rPr>
          <w:sz w:val="20"/>
          <w:szCs w:val="20"/>
          <w:color w:val="auto"/>
        </w:rPr>
      </w:pPr>
    </w:p>
    <w:tbl>
      <w:tblPr>
        <w:tblLayout w:type="fixed"/>
        <w:tblInd w:w="3920" w:type="dxa"/>
        <w:tblCellMar>
          <w:top w:w="0" w:type="dxa"/>
          <w:left w:w="0" w:type="dxa"/>
          <w:bottom w:w="0" w:type="dxa"/>
          <w:right w:w="0" w:type="dxa"/>
        </w:tblCellMar>
      </w:tblPr>
      <w:tr>
        <w:trPr>
          <w:trHeight w:val="216"/>
        </w:trPr>
        <w:tc>
          <w:tcPr>
            <w:tcW w:w="2740" w:type="dxa"/>
            <w:vAlign w:val="bottom"/>
          </w:tcPr>
          <w:p>
            <w:pPr>
              <w:ind w:left="920"/>
              <w:spacing w:after="0"/>
              <w:rPr>
                <w:sz w:val="20"/>
                <w:szCs w:val="20"/>
                <w:color w:val="auto"/>
              </w:rPr>
            </w:pPr>
            <w:r>
              <w:rPr>
                <w:rFonts w:ascii="Arial" w:cs="Arial" w:eastAsia="Arial" w:hAnsi="Arial"/>
                <w:sz w:val="18"/>
                <w:szCs w:val="18"/>
                <w:color w:val="C21128"/>
              </w:rPr>
              <w:t>Subject to Completion</w:t>
            </w:r>
          </w:p>
        </w:tc>
        <w:tc>
          <w:tcPr>
            <w:tcW w:w="680" w:type="dxa"/>
            <w:vAlign w:val="bottom"/>
          </w:tcPr>
          <w:p>
            <w:pPr>
              <w:spacing w:after="0"/>
              <w:rPr>
                <w:sz w:val="18"/>
                <w:szCs w:val="18"/>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C21128"/>
              </w:rPr>
              <w:t>Preliminary Prospectus dated</w:t>
            </w:r>
          </w:p>
        </w:tc>
        <w:tc>
          <w:tcPr>
            <w:tcW w:w="680" w:type="dxa"/>
            <w:vAlign w:val="bottom"/>
          </w:tcPr>
          <w:p>
            <w:pPr>
              <w:jc w:val="right"/>
              <w:spacing w:after="0"/>
              <w:rPr>
                <w:sz w:val="20"/>
                <w:szCs w:val="20"/>
                <w:color w:val="auto"/>
              </w:rPr>
            </w:pPr>
            <w:r>
              <w:rPr>
                <w:rFonts w:ascii="Arial" w:cs="Arial" w:eastAsia="Arial" w:hAnsi="Arial"/>
                <w:sz w:val="18"/>
                <w:szCs w:val="18"/>
                <w:color w:val="C21128"/>
              </w:rPr>
              <w:t>, 2021</w:t>
            </w: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PROSPECTUS</w:t>
      </w:r>
    </w:p>
    <w:p>
      <w:pPr>
        <w:spacing w:after="0" w:line="143" w:lineRule="exact"/>
        <w:rPr>
          <w:sz w:val="20"/>
          <w:szCs w:val="20"/>
          <w:color w:val="auto"/>
        </w:rPr>
      </w:pPr>
    </w:p>
    <w:p>
      <w:pPr>
        <w:ind w:left="598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209550</wp:posOffset>
            </wp:positionV>
            <wp:extent cx="1517015"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206375</wp:posOffset>
            </wp:positionV>
            <wp:extent cx="1851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is PepGen Inc.’s initial public offering. We are selling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w:t>
      </w:r>
    </w:p>
    <w:p>
      <w:pPr>
        <w:spacing w:after="0" w:line="205" w:lineRule="exact"/>
        <w:rPr>
          <w:sz w:val="20"/>
          <w:szCs w:val="20"/>
          <w:color w:val="auto"/>
        </w:rPr>
      </w:pPr>
    </w:p>
    <w:p>
      <w:pPr>
        <w:sectPr>
          <w:pgSz w:w="11900" w:h="16838" w:orient="portrait"/>
          <w:cols w:equalWidth="0" w:num="2">
            <w:col w:w="4580" w:space="580"/>
            <w:col w:w="6080"/>
          </w:cols>
          <w:pgMar w:left="320" w:top="459" w:right="3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We expect the public offering price to be between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 share. Currently, no public market exists for the shares. After pricing of the</w:t>
      </w:r>
    </w:p>
    <w:p>
      <w:pPr>
        <w:spacing w:after="0" w:line="50" w:lineRule="exact"/>
        <w:rPr>
          <w:sz w:val="20"/>
          <w:szCs w:val="20"/>
          <w:color w:val="auto"/>
        </w:rPr>
      </w:pPr>
    </w:p>
    <w:p>
      <w:pPr>
        <w:sectPr>
          <w:pgSz w:w="11900" w:h="16838" w:orient="portrait"/>
          <w:cols w:equalWidth="0" w:num="3">
            <w:col w:w="4080" w:space="400"/>
            <w:col w:w="380" w:space="400"/>
            <w:col w:w="5980"/>
          </w:cols>
          <w:pgMar w:left="320" w:top="459" w:right="339" w:bottom="1440" w:gutter="0" w:footer="0" w:header="0"/>
          <w:type w:val="continuous"/>
        </w:sectPr>
      </w:pPr>
    </w:p>
    <w:p>
      <w:pPr>
        <w:spacing w:after="0"/>
        <w:rPr>
          <w:sz w:val="20"/>
          <w:szCs w:val="20"/>
          <w:color w:val="auto"/>
        </w:rPr>
      </w:pPr>
      <w:r>
        <w:rPr>
          <w:rFonts w:ascii="Arial" w:cs="Arial" w:eastAsia="Arial" w:hAnsi="Arial"/>
          <w:sz w:val="18"/>
          <w:szCs w:val="18"/>
          <w:color w:val="auto"/>
        </w:rPr>
        <w:t>offering, we expect that the shares will trade on the Nasdaq Global Market under the symbol “PEPG.”</w:t>
      </w:r>
    </w:p>
    <w:p>
      <w:pPr>
        <w:spacing w:after="0" w:line="165" w:lineRule="exact"/>
        <w:rPr>
          <w:sz w:val="20"/>
          <w:szCs w:val="20"/>
          <w:color w:val="auto"/>
        </w:rPr>
      </w:pPr>
    </w:p>
    <w:p>
      <w:pPr>
        <w:ind w:right="360" w:firstLine="449"/>
        <w:spacing w:after="0" w:line="268" w:lineRule="auto"/>
        <w:rPr>
          <w:sz w:val="20"/>
          <w:szCs w:val="20"/>
          <w:color w:val="auto"/>
        </w:rPr>
      </w:pPr>
      <w:r>
        <w:rPr>
          <w:rFonts w:ascii="Arial" w:cs="Arial" w:eastAsia="Arial" w:hAnsi="Arial"/>
          <w:sz w:val="18"/>
          <w:szCs w:val="18"/>
          <w:color w:val="auto"/>
        </w:rPr>
        <w:t>We are an “emerging growth company” and a “smaller reporting company” under applicable Securities and Exchange Commission rules and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166370</wp:posOffset>
            </wp:positionV>
            <wp:extent cx="1851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risks that are described in the section titled “</w:t>
      </w:r>
      <w:hyperlink w:anchor="page1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Per Share</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r>
      <w:tr>
        <w:trPr>
          <w:trHeight w:val="210"/>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8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r>
      <w:tr>
        <w:trPr>
          <w:trHeight w:val="210"/>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Underwriting discount</w:t>
            </w:r>
          </w:p>
        </w:tc>
        <w:tc>
          <w:tcPr>
            <w:tcW w:w="448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w:t>
            </w:r>
          </w:p>
        </w:tc>
      </w:tr>
      <w:tr>
        <w:trPr>
          <w:trHeight w:val="210"/>
        </w:trPr>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448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the section titled “</w:t>
      </w:r>
      <w:hyperlink w:anchor="page200">
        <w:r>
          <w:rPr>
            <w:rFonts w:ascii="Arial" w:cs="Arial" w:eastAsia="Arial" w:hAnsi="Arial"/>
            <w:sz w:val="13"/>
            <w:szCs w:val="13"/>
            <w:u w:val="single" w:color="auto"/>
            <w:color w:val="0000EE"/>
          </w:rPr>
          <w:t>Underwriting</w:t>
        </w:r>
      </w:hyperlink>
      <w:r>
        <w:rPr>
          <w:rFonts w:ascii="Arial" w:cs="Arial" w:eastAsia="Arial" w:hAnsi="Arial"/>
          <w:sz w:val="13"/>
          <w:szCs w:val="13"/>
          <w:color w:val="auto"/>
        </w:rPr>
        <w:t>” beginning on page 196 of this prospectus for additional information on underwriting compensation.</w:t>
      </w:r>
    </w:p>
    <w:p>
      <w:pPr>
        <w:sectPr>
          <w:pgSz w:w="11900" w:h="16838" w:orient="portrait"/>
          <w:cols w:equalWidth="0" w:num="1">
            <w:col w:w="11240"/>
          </w:cols>
          <w:pgMar w:left="320" w:top="459" w:right="339" w:bottom="1440" w:gutter="0" w:footer="0" w:header="0"/>
          <w:type w:val="continuous"/>
        </w:sectPr>
      </w:pPr>
    </w:p>
    <w:p>
      <w:pPr>
        <w:spacing w:after="0" w:line="163" w:lineRule="exact"/>
        <w:rPr>
          <w:sz w:val="20"/>
          <w:szCs w:val="20"/>
          <w:color w:val="auto"/>
        </w:rPr>
      </w:pPr>
    </w:p>
    <w:p>
      <w:pPr>
        <w:ind w:firstLine="449"/>
        <w:spacing w:after="0" w:line="331" w:lineRule="auto"/>
        <w:rPr>
          <w:sz w:val="20"/>
          <w:szCs w:val="20"/>
          <w:color w:val="auto"/>
        </w:rPr>
      </w:pPr>
      <w:r>
        <w:rPr>
          <w:rFonts w:ascii="Arial" w:cs="Arial" w:eastAsia="Arial" w:hAnsi="Arial"/>
          <w:sz w:val="16"/>
          <w:szCs w:val="16"/>
          <w:color w:val="auto"/>
        </w:rPr>
        <w:t>The underwriters may also exercise their option to purchase up to discount, for 30 days after the date of this prospectus.</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from us, at the public offering price, less the underwriting</w:t>
      </w:r>
    </w:p>
    <w:p>
      <w:pPr>
        <w:spacing w:after="0" w:line="410" w:lineRule="exact"/>
        <w:rPr>
          <w:sz w:val="20"/>
          <w:szCs w:val="20"/>
          <w:color w:val="auto"/>
        </w:rPr>
      </w:pPr>
    </w:p>
    <w:p>
      <w:pPr>
        <w:sectPr>
          <w:pgSz w:w="11900" w:h="16838" w:orient="portrait"/>
          <w:cols w:equalWidth="0" w:num="2">
            <w:col w:w="5060" w:space="560"/>
            <w:col w:w="5620"/>
          </w:cols>
          <w:pgMar w:left="320" w:top="459" w:right="339" w:bottom="1440" w:gutter="0" w:footer="0" w:header="0"/>
          <w:type w:val="continuous"/>
        </w:sectPr>
      </w:pPr>
    </w:p>
    <w:p>
      <w:pPr>
        <w:ind w:right="80" w:firstLine="449"/>
        <w:spacing w:after="0" w:line="259" w:lineRule="auto"/>
        <w:rPr>
          <w:sz w:val="20"/>
          <w:szCs w:val="20"/>
          <w:color w:val="auto"/>
        </w:rPr>
      </w:pPr>
      <w:r>
        <w:rPr>
          <w:rFonts w:ascii="Arial" w:cs="Arial" w:eastAsia="Arial" w:hAnsi="Arial"/>
          <w:sz w:val="18"/>
          <w:szCs w:val="18"/>
          <w:color w:val="auto"/>
        </w:rPr>
        <w:t>Neither the Securities and Exchange Commission nor any state securities commission approved or disapproved of the securities that may be offered under this prospectus, nor have any of these organizations determined if this prospectus is truthful or complete. Any representation to the contrary is a criminal offense.</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The shares will be ready for delivery on or about</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68" w:lineRule="exact"/>
        <w:rPr>
          <w:sz w:val="20"/>
          <w:szCs w:val="20"/>
          <w:color w:val="auto"/>
        </w:rPr>
      </w:pPr>
    </w:p>
    <w:p>
      <w:pPr>
        <w:sectPr>
          <w:pgSz w:w="11900" w:h="16838" w:orient="portrait"/>
          <w:cols w:equalWidth="0" w:num="1">
            <w:col w:w="11240"/>
          </w:cols>
          <w:pgMar w:left="320" w:top="459" w:right="339" w:bottom="1440" w:gutter="0" w:footer="0" w:header="0"/>
          <w:type w:val="continuous"/>
        </w:sectPr>
      </w:pPr>
    </w:p>
    <w:p>
      <w:pPr>
        <w:spacing w:after="0"/>
        <w:rPr>
          <w:sz w:val="20"/>
          <w:szCs w:val="20"/>
          <w:color w:val="auto"/>
        </w:rPr>
      </w:pPr>
      <w:r>
        <w:rPr>
          <w:rFonts w:ascii="Arial" w:cs="Arial" w:eastAsia="Arial" w:hAnsi="Arial"/>
          <w:sz w:val="32"/>
          <w:szCs w:val="32"/>
          <w:b w:val="1"/>
          <w:b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Stifel</w:t>
      </w:r>
    </w:p>
    <w:p>
      <w:pPr>
        <w:spacing w:after="0" w:line="172" w:lineRule="exact"/>
        <w:rPr>
          <w:sz w:val="20"/>
          <w:szCs w:val="20"/>
          <w:color w:val="auto"/>
        </w:rPr>
      </w:pPr>
    </w:p>
    <w:p>
      <w:pPr>
        <w:sectPr>
          <w:pgSz w:w="11900" w:h="16838" w:orient="portrait"/>
          <w:cols w:equalWidth="0" w:num="3">
            <w:col w:w="4080" w:space="720"/>
            <w:col w:w="4920" w:space="720"/>
            <w:col w:w="800"/>
          </w:cols>
          <w:pgMar w:left="320" w:top="459" w:right="339" w:bottom="1440" w:gutter="0" w:footer="0" w:header="0"/>
          <w:type w:val="continuous"/>
        </w:sectPr>
      </w:pPr>
    </w:p>
    <w:p>
      <w:pPr>
        <w:jc w:val="center"/>
        <w:ind w:right="-19"/>
        <w:spacing w:after="0"/>
        <w:rPr>
          <w:sz w:val="20"/>
          <w:szCs w:val="20"/>
          <w:color w:val="auto"/>
        </w:rPr>
      </w:pPr>
      <w:r>
        <w:rPr>
          <w:rFonts w:ascii="Arial" w:cs="Arial" w:eastAsia="Arial" w:hAnsi="Arial"/>
          <w:sz w:val="32"/>
          <w:szCs w:val="32"/>
          <w:b w:val="1"/>
          <w:bCs w:val="1"/>
          <w:color w:val="auto"/>
        </w:rPr>
        <w:t>Wedbush PacGrow</w:t>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ind w:left="3920"/>
        <w:spacing w:after="0"/>
        <w:rPr>
          <w:sz w:val="20"/>
          <w:szCs w:val="20"/>
          <w:color w:val="auto"/>
        </w:rPr>
      </w:pPr>
      <w:r>
        <w:rPr>
          <w:rFonts w:ascii="Arial" w:cs="Arial" w:eastAsia="Arial" w:hAnsi="Arial"/>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 2021</w:t>
      </w:r>
    </w:p>
    <w:p>
      <w:pPr>
        <w:sectPr>
          <w:pgSz w:w="11900" w:h="16838" w:orient="portrait"/>
          <w:cols w:equalWidth="0" w:num="2">
            <w:col w:w="6180" w:space="720"/>
            <w:col w:w="4340"/>
          </w:cols>
          <w:pgMar w:left="320" w:top="459"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100" w:type="dxa"/>
            <w:vAlign w:val="bottom"/>
            <w:gridSpan w:val="5"/>
          </w:tcPr>
          <w:p>
            <w:pPr>
              <w:ind w:left="96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r>
      <w:tr>
        <w:trPr>
          <w:trHeight w:val="367"/>
        </w:trPr>
        <w:tc>
          <w:tcPr>
            <w:tcW w:w="982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40" w:type="dxa"/>
            <w:vAlign w:val="bottom"/>
            <w:tcBorders>
              <w:top w:val="single" w:sz="8" w:color="0000EE"/>
            </w:tcBorders>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780" w:type="dxa"/>
            <w:vAlign w:val="bottom"/>
            <w:gridSpan w:val="12"/>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5220" w:type="dxa"/>
            <w:vAlign w:val="bottom"/>
            <w:tcBorders>
              <w:bottom w:val="single" w:sz="8" w:color="0000EE"/>
            </w:tcBorders>
            <w:gridSpan w:val="19"/>
          </w:tcPr>
          <w:p>
            <w:pPr>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SPECIAL NOTE REGARDING FORWARD-LOOKING STATEMENTS</w:t>
              </w:r>
            </w:hyperlink>
          </w:p>
        </w:tc>
        <w:tc>
          <w:tcPr>
            <w:tcW w:w="4600" w:type="dxa"/>
            <w:vAlign w:val="bottom"/>
            <w:gridSpan w:val="4"/>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0"/>
        </w:trPr>
        <w:tc>
          <w:tcPr>
            <w:tcW w:w="15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USE OF PROCEEDS</w:t>
              </w:r>
            </w:hyperlink>
          </w:p>
        </w:tc>
        <w:tc>
          <w:tcPr>
            <w:tcW w:w="8260" w:type="dxa"/>
            <w:vAlign w:val="bottom"/>
            <w:gridSpan w:val="13"/>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DIVIDEND POLICY</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1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100">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21"/>
                <w:szCs w:val="21"/>
                <w:color w:val="auto"/>
              </w:rPr>
            </w:pPr>
          </w:p>
        </w:tc>
        <w:tc>
          <w:tcPr>
            <w:tcW w:w="8280" w:type="dxa"/>
            <w:vAlign w:val="bottom"/>
            <w:gridSpan w:val="14"/>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8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02">
              <w:r>
                <w:rPr>
                  <w:rFonts w:ascii="Arial" w:cs="Arial" w:eastAsia="Arial" w:hAnsi="Arial"/>
                  <w:sz w:val="18"/>
                  <w:szCs w:val="18"/>
                  <w:color w:val="0000EE"/>
                  <w:w w:val="99"/>
                </w:rPr>
                <w:t>DILUTION</w:t>
              </w:r>
            </w:hyperlink>
          </w:p>
        </w:tc>
        <w:tc>
          <w:tcPr>
            <w:tcW w:w="8960" w:type="dxa"/>
            <w:vAlign w:val="bottom"/>
            <w:gridSpan w:val="20"/>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MANAGEMENT’S DISCUSSION AND ANALYSIS OF FINANCIAL CONDITION AND RESULTS OF OPERATIONS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0"/>
        </w:trPr>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BUSINESS</w:t>
              </w:r>
            </w:hyperlink>
          </w:p>
        </w:tc>
        <w:tc>
          <w:tcPr>
            <w:tcW w:w="7860" w:type="dxa"/>
            <w:vAlign w:val="bottom"/>
            <w:tcBorders>
              <w:top w:val="single" w:sz="8" w:color="0000EE"/>
            </w:tcBorders>
            <w:gridSpan w:val="20"/>
          </w:tcPr>
          <w:p>
            <w:pPr>
              <w:spacing w:after="0"/>
              <w:rPr>
                <w:sz w:val="21"/>
                <w:szCs w:val="21"/>
                <w:color w:val="auto"/>
              </w:rPr>
            </w:pPr>
          </w:p>
        </w:tc>
        <w:tc>
          <w:tcPr>
            <w:tcW w:w="1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128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70">
              <w:r>
                <w:rPr>
                  <w:rFonts w:ascii="Arial" w:cs="Arial" w:eastAsia="Arial" w:hAnsi="Arial"/>
                  <w:sz w:val="18"/>
                  <w:szCs w:val="18"/>
                  <w:color w:val="0000EE"/>
                  <w:w w:val="97"/>
                </w:rPr>
                <w:t>MANAGEMENT</w:t>
              </w:r>
            </w:hyperlink>
          </w:p>
        </w:tc>
        <w:tc>
          <w:tcPr>
            <w:tcW w:w="8540" w:type="dxa"/>
            <w:vAlign w:val="bottom"/>
            <w:gridSpan w:val="18"/>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50"/>
        </w:trPr>
        <w:tc>
          <w:tcPr>
            <w:tcW w:w="240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178">
              <w:r>
                <w:rPr>
                  <w:rFonts w:ascii="Arial" w:cs="Arial" w:eastAsia="Arial" w:hAnsi="Arial"/>
                  <w:sz w:val="18"/>
                  <w:szCs w:val="18"/>
                  <w:color w:val="0000EE"/>
                  <w:w w:val="94"/>
                </w:rPr>
                <w:t>EXECUTIVE COMPENSATION</w:t>
              </w:r>
            </w:hyperlink>
          </w:p>
        </w:tc>
        <w:tc>
          <w:tcPr>
            <w:tcW w:w="7420" w:type="dxa"/>
            <w:vAlign w:val="bottom"/>
            <w:gridSpan w:val="9"/>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DIRECTOR COMPENSATION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CERTAIN RELATIONSHIPS AND RELATED PARTY TRANSACTIONS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50"/>
        </w:trPr>
        <w:tc>
          <w:tcPr>
            <w:tcW w:w="5340" w:type="dxa"/>
            <w:vAlign w:val="bottom"/>
            <w:tcBorders>
              <w:top w:val="single" w:sz="8" w:color="0000EE"/>
            </w:tcBorders>
            <w:gridSpan w:val="20"/>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PRINCIPAL STOCKHOLDERS</w:t>
              </w:r>
            </w:hyperlink>
          </w:p>
        </w:tc>
        <w:tc>
          <w:tcPr>
            <w:tcW w:w="4480" w:type="dxa"/>
            <w:vAlign w:val="bottom"/>
            <w:gridSpan w:val="3"/>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DESCRIPTION OF CAPITAL STOCK</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SHARES ELIGIBLE FOR FUTURE SALE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MATERIAL U.S. FEDERAL INCOME TAX CONSIDERATIONS FOR NON-U.S. HOLDERS OF COMMON STOCK</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50"/>
        </w:trPr>
        <w:tc>
          <w:tcPr>
            <w:tcW w:w="8520" w:type="dxa"/>
            <w:vAlign w:val="bottom"/>
            <w:tcBorders>
              <w:top w:val="single" w:sz="8" w:color="0000EE"/>
            </w:tcBorders>
            <w:gridSpan w:val="21"/>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UNDERWRITING</w:t>
              </w:r>
            </w:hyperlink>
          </w:p>
        </w:tc>
        <w:tc>
          <w:tcPr>
            <w:tcW w:w="1300" w:type="dxa"/>
            <w:vAlign w:val="bottom"/>
            <w:gridSpan w:val="2"/>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LEGAL MATTERS</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0"/>
        </w:trPr>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08">
              <w:r>
                <w:rPr>
                  <w:rFonts w:ascii="Arial" w:cs="Arial" w:eastAsia="Arial" w:hAnsi="Arial"/>
                  <w:sz w:val="18"/>
                  <w:szCs w:val="18"/>
                  <w:color w:val="0000EE"/>
                  <w:w w:val="88"/>
                </w:rPr>
                <w:t>EXPERTS</w:t>
              </w:r>
            </w:hyperlink>
          </w:p>
        </w:tc>
        <w:tc>
          <w:tcPr>
            <w:tcW w:w="660" w:type="dxa"/>
            <w:vAlign w:val="bottom"/>
            <w:tcBorders>
              <w:top w:val="single" w:sz="8" w:color="0000EE"/>
            </w:tcBorders>
            <w:gridSpan w:val="6"/>
          </w:tcPr>
          <w:p>
            <w:pPr>
              <w:spacing w:after="0"/>
              <w:rPr>
                <w:sz w:val="21"/>
                <w:szCs w:val="21"/>
                <w:color w:val="auto"/>
              </w:rPr>
            </w:pPr>
          </w:p>
        </w:tc>
        <w:tc>
          <w:tcPr>
            <w:tcW w:w="8400" w:type="dxa"/>
            <w:vAlign w:val="bottom"/>
            <w:gridSpan w:val="16"/>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0"/>
        </w:trPr>
        <w:tc>
          <w:tcPr>
            <w:tcW w:w="9820" w:type="dxa"/>
            <w:vAlign w:val="bottom"/>
            <w:gridSpan w:val="23"/>
          </w:tcPr>
          <w:p>
            <w:pPr>
              <w:spacing w:after="0"/>
              <w:rPr>
                <w:rFonts w:ascii="Arial" w:cs="Arial" w:eastAsia="Arial" w:hAnsi="Arial"/>
                <w:sz w:val="18"/>
                <w:szCs w:val="18"/>
                <w:color w:val="0000EE"/>
              </w:rPr>
            </w:pPr>
            <w:hyperlink w:anchor="page208">
              <w:r>
                <w:rPr>
                  <w:rFonts w:ascii="Arial" w:cs="Arial" w:eastAsia="Arial" w:hAnsi="Arial"/>
                  <w:sz w:val="18"/>
                  <w:szCs w:val="18"/>
                  <w:color w:val="0000EE"/>
                </w:rPr>
                <w:t>WHERE YOU CAN FIND MORE INFORMATION</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50"/>
        </w:trPr>
        <w:tc>
          <w:tcPr>
            <w:tcW w:w="3720" w:type="dxa"/>
            <w:vAlign w:val="bottom"/>
            <w:tcBorders>
              <w:top w:val="single" w:sz="8" w:color="0000EE"/>
            </w:tcBorders>
            <w:gridSpan w:val="18"/>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INDEX TO FINANCIAL STATEMENTS</w:t>
              </w:r>
            </w:hyperlink>
          </w:p>
        </w:tc>
        <w:tc>
          <w:tcPr>
            <w:tcW w:w="6100" w:type="dxa"/>
            <w:vAlign w:val="bottom"/>
            <w:gridSpan w:val="5"/>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196850</wp:posOffset>
            </wp:positionV>
            <wp:extent cx="18516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b w:val="1"/>
          <w:bCs w:val="1"/>
          <w:color w:val="auto"/>
        </w:rPr>
        <w:t>We have not, and the underwriters have not, authorized anyone to provide any information or to make any representation other than those contained in this prospectus, any amendment or supplement to this prospectus or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 common stock offered hereby, but only under circumstances and in jurisdictions where it is lawful to do so. The information contained in this prospectus, any amendment or supplement to this prospectus or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18"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73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4730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68" w:lineRule="exact"/>
        <w:rPr>
          <w:sz w:val="20"/>
          <w:szCs w:val="20"/>
          <w:color w:val="auto"/>
        </w:rPr>
      </w:pPr>
    </w:p>
    <w:p>
      <w:pPr>
        <w:ind w:left="200" w:right="60" w:firstLine="434"/>
        <w:spacing w:after="0" w:line="291" w:lineRule="auto"/>
        <w:rPr>
          <w:sz w:val="20"/>
          <w:szCs w:val="20"/>
          <w:color w:val="auto"/>
        </w:rPr>
      </w:pPr>
      <w:r>
        <w:rPr>
          <w:rFonts w:ascii="Arial" w:cs="Arial" w:eastAsia="Arial" w:hAnsi="Arial"/>
          <w:sz w:val="16"/>
          <w:szCs w:val="16"/>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included elsewhere in this prospectus. You should also consider, among other things, the matters described under “Business,” “Risk Factors” and “Management’s Discussion and Analysis of Financial Condition and Results of Operations,” in each case appearing elsewhere in this prospectus. Unless the context otherwise requires, the terms “PepGen,” “the Company,” “the Registrant,” “we,” “us,” and “our” in this prospectus refer to PepGen Inc. and its subsidiary, PepGen Ltd.</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firstLine="434"/>
        <w:spacing w:after="0" w:line="301" w:lineRule="auto"/>
        <w:rPr>
          <w:sz w:val="20"/>
          <w:szCs w:val="20"/>
          <w:color w:val="auto"/>
        </w:rPr>
      </w:pPr>
      <w:r>
        <w:rPr>
          <w:rFonts w:ascii="Arial" w:cs="Arial" w:eastAsia="Arial" w:hAnsi="Arial"/>
          <w:sz w:val="15"/>
          <w:szCs w:val="15"/>
          <w:color w:val="auto"/>
        </w:rPr>
        <w:t>We are advancing the next generation of oligonucleotide therapeutics with the goal of transforming the treatment of severe neuromuscular and neurologic diseases. Our Enhanced Delivery Oligonucleotide, or EDO, platform is founded on over a decade of research and development and leverages cell-penetrating peptide conjugates to improve the uptake and the activity of oligonucleotide therapies. Our EDO peptides are engineered to optimize tissue and cell penetration, and in preclinical studies they have demonstrated the ability to transport oligonucleotides into a broad range of target tissues, including smooth, skeletal, and cardiac muscle and the central nervous system, or CNS. Using these EDO peptides, we are generating a pipeline of oligonucleotide therapeutic candidates that target the root cause of serious diseases. We are developing PGN-EDO51, our lead product candidate, to treat individuals with Duchenne muscular dystrophy, or DMD, whose mutations are amenable to an exon 51 skipping therapeutic approach. In non-human primate, or NHP, studies, PGN-EDO51 at a dose of 30 mg/kg achieved over 70% exon 51 skipping in skeletal muscle, including diaphragm, which we believe is the highest rate of exon 51-skipping reported by any approved therapeutic or known development candidate. We anticipate filing a Clinical Trial</w:t>
      </w:r>
    </w:p>
    <w:p>
      <w:pPr>
        <w:spacing w:after="0" w:line="3" w:lineRule="exact"/>
        <w:rPr>
          <w:sz w:val="20"/>
          <w:szCs w:val="20"/>
          <w:color w:val="auto"/>
        </w:rPr>
      </w:pPr>
    </w:p>
    <w:p>
      <w:pPr>
        <w:ind w:left="200" w:right="100"/>
        <w:spacing w:after="0" w:line="281" w:lineRule="auto"/>
        <w:rPr>
          <w:sz w:val="20"/>
          <w:szCs w:val="20"/>
          <w:color w:val="auto"/>
        </w:rPr>
      </w:pPr>
      <w:r>
        <w:rPr>
          <w:rFonts w:ascii="Arial" w:cs="Arial" w:eastAsia="Arial" w:hAnsi="Arial"/>
          <w:sz w:val="16"/>
          <w:szCs w:val="16"/>
          <w:color w:val="auto"/>
        </w:rPr>
        <w:t>Application, or CTA, in to initiate a Phase 1 clinical trial of PGN-EDO51. We are also developing PGN-EDODM1 for the treatment of myotonic dystrophy type 1, or DM1, for which we anticipate an investigational new drug, or IND, filing in , and PGN-EDO53 for the treatment of DMD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patients whose mutations are amenable to an exon 53 skipping therapeutic approach, for which we anticipate reporting exon-skipping data in NHPs in</w:t>
      </w:r>
    </w:p>
    <w:p>
      <w:pPr>
        <w:spacing w:after="0" w:line="32" w:lineRule="exact"/>
        <w:rPr>
          <w:sz w:val="20"/>
          <w:szCs w:val="20"/>
          <w:color w:val="auto"/>
        </w:rPr>
      </w:pPr>
    </w:p>
    <w:p>
      <w:pPr>
        <w:ind w:left="200" w:right="400" w:firstLine="520"/>
        <w:spacing w:after="0" w:line="26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Alongside these therapeutic candidates, we have initiated research efforts on EDO therapeutics for additional neuromuscular and neurologic diseases and other therapeutic areas, including cardiac indications.</w:t>
      </w:r>
    </w:p>
    <w:p>
      <w:pPr>
        <w:spacing w:after="0" w:line="139" w:lineRule="exact"/>
        <w:rPr>
          <w:sz w:val="20"/>
          <w:szCs w:val="20"/>
          <w:color w:val="auto"/>
        </w:rPr>
      </w:pPr>
    </w:p>
    <w:p>
      <w:pPr>
        <w:ind w:left="200" w:right="240" w:firstLine="434"/>
        <w:spacing w:after="0" w:line="254" w:lineRule="auto"/>
        <w:rPr>
          <w:sz w:val="20"/>
          <w:szCs w:val="20"/>
          <w:color w:val="auto"/>
        </w:rPr>
      </w:pPr>
      <w:r>
        <w:rPr>
          <w:rFonts w:ascii="Arial" w:cs="Arial" w:eastAsia="Arial" w:hAnsi="Arial"/>
          <w:sz w:val="18"/>
          <w:szCs w:val="18"/>
          <w:color w:val="auto"/>
        </w:rPr>
        <w:t>The advent of oligonucleotide therapeutics represented a major advance in the history of the biopharmaceutical industry. Oligonucleotide therapeutics are a genetic medicine modality that, using nucleic acids, are designed to target the root cause of many diseases through the modulation of RNA expression and processing. Oligonucleotide therapeutics have demonstrated clinical benefit and been approved for the treatment of multiple diseases. These approved drugs include antisense oligonucleotides, or ASOs, which are short, synthetic, single-stranded oligonucleotides designed to inhibit or modify expression of protein and RNA.</w:t>
      </w:r>
    </w:p>
    <w:p>
      <w:pPr>
        <w:spacing w:after="0" w:line="147" w:lineRule="exact"/>
        <w:rPr>
          <w:sz w:val="20"/>
          <w:szCs w:val="20"/>
          <w:color w:val="auto"/>
        </w:rPr>
      </w:pPr>
    </w:p>
    <w:p>
      <w:pPr>
        <w:ind w:left="200" w:right="160" w:firstLine="434"/>
        <w:spacing w:after="0" w:line="306" w:lineRule="auto"/>
        <w:rPr>
          <w:sz w:val="20"/>
          <w:szCs w:val="20"/>
          <w:color w:val="auto"/>
        </w:rPr>
      </w:pPr>
      <w:r>
        <w:rPr>
          <w:rFonts w:ascii="Arial" w:cs="Arial" w:eastAsia="Arial" w:hAnsi="Arial"/>
          <w:sz w:val="16"/>
          <w:szCs w:val="16"/>
          <w:color w:val="auto"/>
        </w:rPr>
        <w:t>However, despite the considerable potential of oligonucleotides as a therapeutic class, the challenges associated with their delivery has limited the development of these therapies in certain disease areas. On their own, oligonucleotides therapeutics are not readily distributed to heart and skeletal muscle, the key tissues affected in neuromuscular diseases, and are not efficiently taken up into these cells.</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EDO Platform</w:t>
      </w:r>
    </w:p>
    <w:p>
      <w:pPr>
        <w:spacing w:after="0" w:line="177" w:lineRule="exact"/>
        <w:rPr>
          <w:sz w:val="20"/>
          <w:szCs w:val="20"/>
          <w:color w:val="auto"/>
        </w:rPr>
      </w:pPr>
    </w:p>
    <w:p>
      <w:pPr>
        <w:ind w:left="200" w:right="220" w:firstLine="434"/>
        <w:spacing w:after="0" w:line="268" w:lineRule="auto"/>
        <w:rPr>
          <w:sz w:val="20"/>
          <w:szCs w:val="20"/>
          <w:color w:val="auto"/>
        </w:rPr>
      </w:pPr>
      <w:r>
        <w:rPr>
          <w:rFonts w:ascii="Arial" w:cs="Arial" w:eastAsia="Arial" w:hAnsi="Arial"/>
          <w:sz w:val="18"/>
          <w:szCs w:val="18"/>
          <w:color w:val="auto"/>
        </w:rPr>
        <w:t>To address this challenge, we engineered our proprietary EDO technology to optimize tissue and cell penetration, which we believe may result in enhanced therapeutic activity and improved tolerability of</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33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spacing w:after="0" w:line="298" w:lineRule="auto"/>
        <w:rPr>
          <w:sz w:val="20"/>
          <w:szCs w:val="20"/>
          <w:color w:val="auto"/>
        </w:rPr>
      </w:pPr>
      <w:r>
        <w:rPr>
          <w:rFonts w:ascii="Arial" w:cs="Arial" w:eastAsia="Arial" w:hAnsi="Arial"/>
          <w:sz w:val="16"/>
          <w:szCs w:val="16"/>
          <w:color w:val="auto"/>
        </w:rPr>
        <w:t>oligonucleotide therapies. Our platform is based on novel cell-penetrating EDO peptides that were developed through an iterative process that selected simultaneously for high cellular uptake, biodistribution to key muscle targets, including cardiac tissue, and reduced toxicity. Our lead product candidates utilize phosphorodiamidate morpholino oligomers, or PMOs, a type of ASO chemistry that confers enhanced stability, conjugated to one of our optimized, proprietary, novel EDO peptides, and we are continuing to build and develop this platform technology as we expand into new therapeutic areas.</w:t>
      </w:r>
    </w:p>
    <w:p>
      <w:pPr>
        <w:spacing w:after="0" w:line="112" w:lineRule="exact"/>
        <w:rPr>
          <w:sz w:val="20"/>
          <w:szCs w:val="20"/>
          <w:color w:val="auto"/>
        </w:rPr>
      </w:pPr>
    </w:p>
    <w:p>
      <w:pPr>
        <w:ind w:left="200" w:right="40" w:firstLine="434"/>
        <w:spacing w:after="0" w:line="259" w:lineRule="auto"/>
        <w:rPr>
          <w:sz w:val="20"/>
          <w:szCs w:val="20"/>
          <w:color w:val="auto"/>
        </w:rPr>
      </w:pPr>
      <w:r>
        <w:rPr>
          <w:rFonts w:ascii="Arial" w:cs="Arial" w:eastAsia="Arial" w:hAnsi="Arial"/>
          <w:sz w:val="18"/>
          <w:szCs w:val="18"/>
          <w:color w:val="auto"/>
        </w:rPr>
        <w:t>Using this novel, proprietary platform, we are developing a broad pipeline of disease-modifying EDO peptide-conjugated oligonucleotide candidates to treat a variety of degenerative neuromuscular and neurologic diseases. Our platform is designed to offer the following advantages compared to existing oligonucleotide approaches:</w:t>
      </w:r>
    </w:p>
    <w:p>
      <w:pPr>
        <w:spacing w:after="0" w:line="59" w:lineRule="exact"/>
        <w:rPr>
          <w:sz w:val="20"/>
          <w:szCs w:val="20"/>
          <w:color w:val="auto"/>
        </w:rPr>
      </w:pPr>
    </w:p>
    <w:p>
      <w:pPr>
        <w:ind w:left="1060" w:hanging="43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delivery to skeletal muscle, including diaphragm, cardiac muscle and the CNS.</w:t>
      </w:r>
    </w:p>
    <w:p>
      <w:pPr>
        <w:spacing w:after="0" w:line="90" w:lineRule="exact"/>
        <w:rPr>
          <w:rFonts w:ascii="Arial" w:cs="Arial" w:eastAsia="Arial" w:hAnsi="Arial"/>
          <w:sz w:val="18"/>
          <w:szCs w:val="18"/>
          <w:color w:val="auto"/>
        </w:rPr>
      </w:pPr>
    </w:p>
    <w:p>
      <w:pPr>
        <w:ind w:left="1060" w:right="140" w:hanging="434"/>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Improved activity, which we have observed in NHPs with the greatest exon skipping potency at tolerable target dose levels compared to any approved therapeutic or known developmental candidate.</w:t>
      </w:r>
    </w:p>
    <w:p>
      <w:pPr>
        <w:spacing w:after="0" w:line="50" w:lineRule="exact"/>
        <w:rPr>
          <w:rFonts w:ascii="Arial" w:cs="Arial" w:eastAsia="Arial" w:hAnsi="Arial"/>
          <w:sz w:val="18"/>
          <w:szCs w:val="18"/>
          <w:color w:val="auto"/>
        </w:rPr>
      </w:pPr>
    </w:p>
    <w:p>
      <w:pPr>
        <w:ind w:left="1060" w:hanging="434"/>
        <w:spacing w:after="0"/>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enhanced balance between activity and tolerability, which is designed to afford our product candidates a wider therapeutic index.</w:t>
      </w:r>
    </w:p>
    <w:p>
      <w:pPr>
        <w:spacing w:after="0" w:line="113" w:lineRule="exact"/>
        <w:rPr>
          <w:rFonts w:ascii="Arial" w:cs="Arial" w:eastAsia="Arial" w:hAnsi="Arial"/>
          <w:sz w:val="16"/>
          <w:szCs w:val="16"/>
          <w:color w:val="auto"/>
        </w:rPr>
      </w:pPr>
    </w:p>
    <w:p>
      <w:pPr>
        <w:ind w:left="1060" w:hanging="43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Robust, scalable and cost-efficient manufacturing that does not require cell-based processes.</w:t>
      </w:r>
    </w:p>
    <w:p>
      <w:pPr>
        <w:spacing w:after="0" w:line="90" w:lineRule="exact"/>
        <w:rPr>
          <w:rFonts w:ascii="Arial" w:cs="Arial" w:eastAsia="Arial" w:hAnsi="Arial"/>
          <w:sz w:val="18"/>
          <w:szCs w:val="18"/>
          <w:color w:val="auto"/>
        </w:rPr>
      </w:pPr>
    </w:p>
    <w:p>
      <w:pPr>
        <w:ind w:left="1060" w:right="520" w:hanging="434"/>
        <w:spacing w:after="0" w:line="268"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and efficient pipeline development of therapeutic candidates enabled by use of the same EDO peptide across all our initial programs.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Portfolio</w:t>
      </w:r>
    </w:p>
    <w:p>
      <w:pPr>
        <w:spacing w:after="0" w:line="177" w:lineRule="exact"/>
        <w:rPr>
          <w:sz w:val="20"/>
          <w:szCs w:val="20"/>
          <w:color w:val="auto"/>
        </w:rPr>
      </w:pPr>
    </w:p>
    <w:p>
      <w:pPr>
        <w:ind w:left="200" w:right="420" w:firstLine="434"/>
        <w:spacing w:after="0" w:line="254" w:lineRule="auto"/>
        <w:rPr>
          <w:sz w:val="20"/>
          <w:szCs w:val="20"/>
          <w:color w:val="auto"/>
        </w:rPr>
      </w:pPr>
      <w:r>
        <w:rPr>
          <w:rFonts w:ascii="Arial" w:cs="Arial" w:eastAsia="Arial" w:hAnsi="Arial"/>
          <w:sz w:val="18"/>
          <w:szCs w:val="18"/>
          <w:color w:val="auto"/>
        </w:rPr>
        <w:t>We are harnessing the power of our EDO platform to generate a pipeline of oligonucleotide therapeutic candidates engineered to safely and effectively target the root cause of serious diseases. We are initially focused on addressing neuromuscular indications and are building a portfolio of therapeutic candidates to address the underlying genetic mutations found in DMD and DM1. We anticipate expanding this pipeline to include other neuromuscular targets as well as opportunities in neurologic and cardiac indications. We intend to leverage the modular, scalable nature of our EDO technology to support our rapid expansion into these new therapeutic areas. We own worldwide development and commercialization rights to all our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64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464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PGN-EDO51</w:t>
      </w:r>
    </w:p>
    <w:p>
      <w:pPr>
        <w:spacing w:after="0" w:line="96" w:lineRule="exact"/>
        <w:rPr>
          <w:sz w:val="20"/>
          <w:szCs w:val="20"/>
          <w:color w:val="auto"/>
        </w:rPr>
      </w:pPr>
    </w:p>
    <w:p>
      <w:pPr>
        <w:ind w:left="200" w:right="220" w:firstLine="434"/>
        <w:spacing w:after="0" w:line="291" w:lineRule="auto"/>
        <w:rPr>
          <w:sz w:val="20"/>
          <w:szCs w:val="20"/>
          <w:color w:val="auto"/>
        </w:rPr>
      </w:pPr>
      <w:r>
        <w:rPr>
          <w:rFonts w:ascii="Arial" w:cs="Arial" w:eastAsia="Arial" w:hAnsi="Arial"/>
          <w:sz w:val="16"/>
          <w:szCs w:val="16"/>
          <w:color w:val="auto"/>
        </w:rPr>
        <w:t>Our lead product candidate is PGN-EDO51, an EDO peptide-conjugated exon 51-skipping PMO, that we are developing for the treatment of DMD patients with mutations amenable to treatment with an exon 51 skipping approach. DMD is a debilitating X-linked recessive muscle-wasting disease, predominantly affecting boys. It is one of the most prevalent rare genetic diseases globally, with up to 15,000 DMD patients in the United States and approximately 25,000 DMD patients in Europe. Approximately 13% of patients with DMD have mutations that are amenable to treatment with an exon 51-skipping therapy. DMD patients typically succumb to cardiac and respiratory failure in their late teens or early twenties. There is no cure for DMD and there are no treatments that have clinically demonstrated a meaningful impact on disease progression.</w:t>
      </w:r>
    </w:p>
    <w:p>
      <w:pPr>
        <w:spacing w:after="0" w:line="120" w:lineRule="exact"/>
        <w:rPr>
          <w:sz w:val="20"/>
          <w:szCs w:val="20"/>
          <w:color w:val="auto"/>
        </w:rPr>
      </w:pPr>
    </w:p>
    <w:p>
      <w:pPr>
        <w:ind w:left="200" w:right="220" w:firstLine="434"/>
        <w:spacing w:after="0" w:line="278" w:lineRule="auto"/>
        <w:rPr>
          <w:sz w:val="20"/>
          <w:szCs w:val="20"/>
          <w:color w:val="auto"/>
        </w:rPr>
      </w:pPr>
      <w:r>
        <w:rPr>
          <w:rFonts w:ascii="Arial" w:cs="Arial" w:eastAsia="Arial" w:hAnsi="Arial"/>
          <w:sz w:val="15"/>
          <w:szCs w:val="15"/>
          <w:color w:val="auto"/>
        </w:rPr>
        <w:t>PGN-EDO51 is designed to splice out exon 51 of the dystrophin pre-mRNA, resulting in the restoration of the open reading frame of the dystrophin transcript and the production of a shortened, yet functional dystrophin protein. In wild-type NHP studies, at tolerable doses, we have observed the most potent exon skipping compared to any approved therapeutic or known developmental candidate across target tissues, including the heart and diaphragm. In addition, our NHP studies established greater head-to-head activity of PGN-EDO51 compared to R</w:t>
      </w:r>
      <w:r>
        <w:rPr>
          <w:rFonts w:ascii="Arial" w:cs="Arial" w:eastAsia="Arial" w:hAnsi="Arial"/>
          <w:sz w:val="19"/>
          <w:szCs w:val="19"/>
          <w:color w:val="auto"/>
          <w:vertAlign w:val="subscript"/>
        </w:rPr>
        <w:t>6</w:t>
      </w:r>
      <w:r>
        <w:rPr>
          <w:rFonts w:ascii="Arial" w:cs="Arial" w:eastAsia="Arial" w:hAnsi="Arial"/>
          <w:sz w:val="15"/>
          <w:szCs w:val="15"/>
          <w:color w:val="auto"/>
        </w:rPr>
        <w:t>G-PMO, which we believe is structurally equivalent to Sarepta’s SRP-5051, the most clinically advanced peptide-ASO conjugate. At a dose of 10 mg/kg, PGN-EDO51 exhibited approximately as much exon skipping activity as a 3-fold higher dose, i.e., 30 mg/kg, of R</w:t>
      </w:r>
      <w:r>
        <w:rPr>
          <w:rFonts w:ascii="Arial" w:cs="Arial" w:eastAsia="Arial" w:hAnsi="Arial"/>
          <w:sz w:val="19"/>
          <w:szCs w:val="19"/>
          <w:color w:val="auto"/>
          <w:vertAlign w:val="subscript"/>
        </w:rPr>
        <w:t>6</w:t>
      </w:r>
      <w:r>
        <w:rPr>
          <w:rFonts w:ascii="Arial" w:cs="Arial" w:eastAsia="Arial" w:hAnsi="Arial"/>
          <w:sz w:val="15"/>
          <w:szCs w:val="15"/>
          <w:color w:val="auto"/>
        </w:rPr>
        <w:t>G-PMO. Our preclinical work also indicated that PGN-EDO51 was generally</w:t>
      </w:r>
    </w:p>
    <w:p>
      <w:pPr>
        <w:spacing w:after="0" w:line="4" w:lineRule="exact"/>
        <w:rPr>
          <w:sz w:val="20"/>
          <w:szCs w:val="20"/>
          <w:color w:val="auto"/>
        </w:rPr>
      </w:pPr>
    </w:p>
    <w:p>
      <w:pPr>
        <w:ind w:left="200"/>
        <w:spacing w:after="0"/>
        <w:tabs>
          <w:tab w:leader="none" w:pos="7340" w:val="left"/>
        </w:tabs>
        <w:rPr>
          <w:sz w:val="20"/>
          <w:szCs w:val="20"/>
          <w:color w:val="auto"/>
        </w:rPr>
      </w:pPr>
      <w:r>
        <w:rPr>
          <w:rFonts w:ascii="Arial" w:cs="Arial" w:eastAsia="Arial" w:hAnsi="Arial"/>
          <w:sz w:val="18"/>
          <w:szCs w:val="18"/>
          <w:color w:val="auto"/>
        </w:rPr>
        <w:t>well-tolerated at target dose levels. We anticipate filing our CTA for this product candidate in</w:t>
      </w:r>
      <w:r>
        <w:rPr>
          <w:sz w:val="20"/>
          <w:szCs w:val="20"/>
          <w:color w:val="auto"/>
        </w:rPr>
        <w:tab/>
      </w:r>
      <w:r>
        <w:rPr>
          <w:rFonts w:ascii="Arial" w:cs="Arial" w:eastAsia="Arial" w:hAnsi="Arial"/>
          <w:sz w:val="15"/>
          <w:szCs w:val="15"/>
          <w:color w:val="auto"/>
        </w:rPr>
        <w:t>to initiate a Phase 1 study of PGN-ED051.</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PGN-EDODM1</w:t>
      </w:r>
    </w:p>
    <w:p>
      <w:pPr>
        <w:spacing w:after="0" w:line="96" w:lineRule="exact"/>
        <w:rPr>
          <w:sz w:val="20"/>
          <w:szCs w:val="20"/>
          <w:color w:val="auto"/>
        </w:rPr>
      </w:pPr>
    </w:p>
    <w:p>
      <w:pPr>
        <w:ind w:left="200" w:right="320" w:firstLine="434"/>
        <w:spacing w:after="0" w:line="294" w:lineRule="auto"/>
        <w:rPr>
          <w:sz w:val="20"/>
          <w:szCs w:val="20"/>
          <w:color w:val="auto"/>
        </w:rPr>
      </w:pPr>
      <w:r>
        <w:rPr>
          <w:rFonts w:ascii="Arial" w:cs="Arial" w:eastAsia="Arial" w:hAnsi="Arial"/>
          <w:sz w:val="16"/>
          <w:szCs w:val="16"/>
          <w:color w:val="auto"/>
        </w:rPr>
        <w:t xml:space="preserve">We are developing PGN-EDODM1, an EDO peptide-conjugated PMO, for the treatment of DM1. DM1 is a monogenic, autosomal dominant, progressive disorder that primarily affects skeletal, cardiac and smooth muscles as well as the CNS, resulting in significant physical, cognitive and behavioral impairments and disability. The burden of disease is significant, and many patients have a shortened lifespan. DM1 is caused by an abnormal trinucleotide repeat expansion in a region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and is estimated to affect over 40,000 patients in the United States and over 74,000 patients in Europe. There are currently no approved therapies for the treatment of DM1.</w:t>
      </w:r>
    </w:p>
    <w:p>
      <w:pPr>
        <w:spacing w:after="0" w:line="115" w:lineRule="exact"/>
        <w:rPr>
          <w:sz w:val="20"/>
          <w:szCs w:val="20"/>
          <w:color w:val="auto"/>
        </w:rPr>
      </w:pPr>
    </w:p>
    <w:p>
      <w:pPr>
        <w:ind w:left="200" w:right="220" w:firstLine="434"/>
        <w:spacing w:after="0" w:line="302" w:lineRule="auto"/>
        <w:rPr>
          <w:sz w:val="20"/>
          <w:szCs w:val="20"/>
          <w:color w:val="auto"/>
        </w:rPr>
      </w:pPr>
      <w:r>
        <w:rPr>
          <w:rFonts w:ascii="Arial" w:cs="Arial" w:eastAsia="Arial" w:hAnsi="Arial"/>
          <w:sz w:val="15"/>
          <w:szCs w:val="15"/>
          <w:color w:val="auto"/>
        </w:rPr>
        <w:t xml:space="preserve">PGN-EDODM1 leverages the same EDO peptide as PGN-EDO51 to deliver a PMO into muscle cells that binds to the CUG trinucleotide repeat expansion present in the </w:t>
      </w:r>
      <w:r>
        <w:rPr>
          <w:rFonts w:ascii="Arial" w:cs="Arial" w:eastAsia="Arial" w:hAnsi="Arial"/>
          <w:sz w:val="15"/>
          <w:szCs w:val="15"/>
          <w:i w:val="1"/>
          <w:iCs w:val="1"/>
          <w:color w:val="auto"/>
        </w:rPr>
        <w:t>DMPK</w:t>
      </w:r>
      <w:r>
        <w:rPr>
          <w:rFonts w:ascii="Arial" w:cs="Arial" w:eastAsia="Arial" w:hAnsi="Arial"/>
          <w:sz w:val="15"/>
          <w:szCs w:val="15"/>
          <w:color w:val="auto"/>
        </w:rPr>
        <w:t xml:space="preserve"> mRNA, thus reducing the ability of these trinucleotide repeats to sequester MBNL1, a critical RNA processing protein. This blocking mechanism directly addresses the underlying genetic defect in DM1, and we have observed that a single dose of PGN-EDODM1 corrected the molecular and functional phenotypes presented in the HSA</w:t>
      </w:r>
      <w:r>
        <w:rPr>
          <w:rFonts w:ascii="Arial" w:cs="Arial" w:eastAsia="Arial" w:hAnsi="Arial"/>
          <w:sz w:val="10"/>
          <w:szCs w:val="10"/>
          <w:color w:val="auto"/>
        </w:rPr>
        <w:t>LR</w:t>
      </w:r>
      <w:r>
        <w:rPr>
          <w:rFonts w:ascii="Arial" w:cs="Arial" w:eastAsia="Arial" w:hAnsi="Arial"/>
          <w:sz w:val="15"/>
          <w:szCs w:val="15"/>
          <w:color w:val="auto"/>
        </w:rPr>
        <w:t xml:space="preserve"> mouse model of disease, reducing myotonia and normalizing mobility. We also observed that the molecular correction effected by PGN-EDODM1 in this preclinical mouse model exhibited a durability of effect that was in excess of six months. The ability of the EDO peptide to cross the blood-brain barrier may also enable PDG-EDODM1 to address the CNS phenotypes that are evident in DM1</w:t>
      </w:r>
    </w:p>
    <w:p>
      <w:pPr>
        <w:ind w:left="200"/>
        <w:spacing w:after="0"/>
        <w:tabs>
          <w:tab w:leader="none" w:pos="5300" w:val="left"/>
        </w:tabs>
        <w:rPr>
          <w:sz w:val="20"/>
          <w:szCs w:val="20"/>
          <w:color w:val="auto"/>
        </w:rPr>
      </w:pPr>
      <w:r>
        <w:rPr>
          <w:rFonts w:ascii="Arial" w:cs="Arial" w:eastAsia="Arial" w:hAnsi="Arial"/>
          <w:sz w:val="18"/>
          <w:szCs w:val="18"/>
          <w:color w:val="auto"/>
        </w:rPr>
        <w:t>patients. We anticipate submitting an IND for PGN-EDODM1 in</w:t>
      </w:r>
      <w:r>
        <w:rPr>
          <w:sz w:val="20"/>
          <w:szCs w:val="20"/>
          <w:color w:val="auto"/>
        </w:rPr>
        <w:tab/>
      </w:r>
      <w:r>
        <w:rPr>
          <w:rFonts w:ascii="Arial" w:cs="Arial" w:eastAsia="Arial" w:hAnsi="Arial"/>
          <w:sz w:val="16"/>
          <w:szCs w:val="16"/>
          <w:color w:val="auto"/>
        </w:rPr>
        <w:t>to initiate a Phase 1 study of PGN-EDODM1.</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PGN-EDO53</w:t>
      </w:r>
    </w:p>
    <w:p>
      <w:pPr>
        <w:spacing w:after="0" w:line="96" w:lineRule="exact"/>
        <w:rPr>
          <w:sz w:val="20"/>
          <w:szCs w:val="20"/>
          <w:color w:val="auto"/>
        </w:rPr>
      </w:pPr>
    </w:p>
    <w:p>
      <w:pPr>
        <w:ind w:left="200" w:right="280" w:firstLine="434"/>
        <w:spacing w:after="0" w:line="283" w:lineRule="auto"/>
        <w:rPr>
          <w:sz w:val="20"/>
          <w:szCs w:val="20"/>
          <w:color w:val="auto"/>
        </w:rPr>
      </w:pPr>
      <w:r>
        <w:rPr>
          <w:rFonts w:ascii="Arial" w:cs="Arial" w:eastAsia="Arial" w:hAnsi="Arial"/>
          <w:sz w:val="16"/>
          <w:szCs w:val="16"/>
          <w:color w:val="auto"/>
        </w:rPr>
        <w:t xml:space="preserve">Our second EDO therapeutic candidate for the treatment of DMD, PGN-EDO53, is an EDO peptide-conjugated PMO designed to skip exon 53 of the dystrophin transcript. It is estimated that 8% of DMD patients have mutations that would be amenable to treatments with an exon 53 skipping approach. PGN-EDO53 will utilize the same EDO cell penetrating peptide as our exon 51-skipping product candidate, PGN-EDO51, which we believe will allow us to leverage our drug development experience in this indication to rapidly drive our exon 53-skipping product candidate to the clinic. We are currently conducting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 of candidate oligonucleotide sequences, and we anticipate that we will obtain exon skipping results from an NHP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study in</w:t>
            </w:r>
          </w:p>
        </w:tc>
        <w:tc>
          <w:tcPr>
            <w:tcW w:w="10200" w:type="dxa"/>
            <w:vAlign w:val="bottom"/>
            <w:tcBorders>
              <w:bottom w:val="single" w:sz="8" w:color="auto"/>
            </w:tcBorders>
          </w:tcPr>
          <w:p>
            <w:pPr>
              <w:jc w:val="right"/>
              <w:ind w:right="9792"/>
              <w:spacing w:after="0"/>
              <w:rPr>
                <w:sz w:val="20"/>
                <w:szCs w:val="20"/>
                <w:color w:val="auto"/>
              </w:rPr>
            </w:pPr>
            <w:r>
              <w:rPr>
                <w:rFonts w:ascii="Arial" w:cs="Arial" w:eastAsia="Arial" w:hAnsi="Arial"/>
                <w:sz w:val="18"/>
                <w:szCs w:val="18"/>
                <w:color w:val="auto"/>
              </w:rPr>
              <w:t>.</w:t>
            </w:r>
          </w:p>
        </w:tc>
      </w:tr>
      <w:tr>
        <w:trPr>
          <w:trHeight w:val="359"/>
        </w:trPr>
        <w:tc>
          <w:tcPr>
            <w:tcW w:w="1040" w:type="dxa"/>
            <w:vAlign w:val="bottom"/>
          </w:tcPr>
          <w:p>
            <w:pPr>
              <w:spacing w:after="0"/>
              <w:rPr>
                <w:sz w:val="24"/>
                <w:szCs w:val="24"/>
                <w:color w:val="auto"/>
              </w:rPr>
            </w:pPr>
          </w:p>
        </w:tc>
        <w:tc>
          <w:tcPr>
            <w:tcW w:w="10200" w:type="dxa"/>
            <w:vAlign w:val="bottom"/>
          </w:tcPr>
          <w:p>
            <w:pPr>
              <w:jc w:val="right"/>
              <w:ind w:right="549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333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5333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Discovery Programs</w:t>
      </w:r>
    </w:p>
    <w:p>
      <w:pPr>
        <w:spacing w:after="0" w:line="90" w:lineRule="exact"/>
        <w:rPr>
          <w:sz w:val="20"/>
          <w:szCs w:val="20"/>
          <w:color w:val="auto"/>
        </w:rPr>
      </w:pPr>
    </w:p>
    <w:p>
      <w:pPr>
        <w:ind w:left="200" w:firstLine="434"/>
        <w:spacing w:after="0" w:line="284" w:lineRule="auto"/>
        <w:rPr>
          <w:sz w:val="20"/>
          <w:szCs w:val="20"/>
          <w:color w:val="auto"/>
        </w:rPr>
      </w:pPr>
      <w:r>
        <w:rPr>
          <w:rFonts w:ascii="Arial" w:cs="Arial" w:eastAsia="Arial" w:hAnsi="Arial"/>
          <w:sz w:val="16"/>
          <w:szCs w:val="16"/>
          <w:color w:val="auto"/>
        </w:rPr>
        <w:t>We have active discovery programs focused on expanding our pipeline in DMD and other neuromuscular diseases. We are screening oligonucleotides for treatment of DMD patient populations with mutations that are amenable to exon skipping approaches other than exon 51 and exon 53. Our initial discovery work is focused on selection of oligonucleotides for exon 44 and exon 45 skipping. We anticipate nominating a candidate for our</w:t>
      </w:r>
    </w:p>
    <w:p>
      <w:pPr>
        <w:spacing w:after="0" w:line="1" w:lineRule="exact"/>
        <w:rPr>
          <w:sz w:val="20"/>
          <w:szCs w:val="20"/>
          <w:color w:val="auto"/>
        </w:rPr>
      </w:pPr>
    </w:p>
    <w:p>
      <w:pPr>
        <w:ind w:left="200" w:right="420"/>
        <w:spacing w:after="0" w:line="260" w:lineRule="auto"/>
        <w:rPr>
          <w:sz w:val="20"/>
          <w:szCs w:val="20"/>
          <w:color w:val="auto"/>
        </w:rPr>
      </w:pPr>
      <w:r>
        <w:rPr>
          <w:rFonts w:ascii="Arial" w:cs="Arial" w:eastAsia="Arial" w:hAnsi="Arial"/>
          <w:sz w:val="18"/>
          <w:szCs w:val="18"/>
          <w:color w:val="auto"/>
        </w:rPr>
        <w:t>PGN-EDO44/45 program in . In addition, our PGN-EDONMD program is screening oligonucleotides for several neuromuscular targets. We expect to nominate a candidate from this program by .</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Expanding the Applications and Scope of Our EDO Platform</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indications with PMO therapeutics</w:t>
      </w:r>
    </w:p>
    <w:p>
      <w:pPr>
        <w:spacing w:after="0" w:line="90" w:lineRule="exact"/>
        <w:rPr>
          <w:sz w:val="20"/>
          <w:szCs w:val="20"/>
          <w:color w:val="auto"/>
        </w:rPr>
      </w:pPr>
    </w:p>
    <w:p>
      <w:pPr>
        <w:ind w:left="200" w:right="20" w:firstLine="434"/>
        <w:spacing w:after="0" w:line="294" w:lineRule="auto"/>
        <w:rPr>
          <w:sz w:val="20"/>
          <w:szCs w:val="20"/>
          <w:color w:val="auto"/>
        </w:rPr>
      </w:pPr>
      <w:r>
        <w:rPr>
          <w:rFonts w:ascii="Arial" w:cs="Arial" w:eastAsia="Arial" w:hAnsi="Arial"/>
          <w:sz w:val="16"/>
          <w:szCs w:val="16"/>
          <w:color w:val="auto"/>
        </w:rPr>
        <w:t>We intend to leverage our deep understanding of our EDO platform and oligonucleotide therapeutic candidates to develop additional product candidates for other indications. We believe the ability to deliver exon skipping therapeutics to muscle cells, including cardiac muscle cells, as well as the CNS is largely independent of the exact sequence of the PMO. As such, by leveraging the preclinical data and the plug-and-play nature of our EDO platform, we believe that we are well positioned to develop additional product candidates with the potential to drive clinically-relevant therapeutic outcomes in other neuromuscular diseases as well as neurologic and cardiac diseases.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cargos</w:t>
      </w:r>
    </w:p>
    <w:p>
      <w:pPr>
        <w:spacing w:after="0" w:line="90" w:lineRule="exact"/>
        <w:rPr>
          <w:sz w:val="20"/>
          <w:szCs w:val="20"/>
          <w:color w:val="auto"/>
        </w:rPr>
      </w:pPr>
    </w:p>
    <w:p>
      <w:pPr>
        <w:ind w:left="200" w:right="80" w:firstLine="434"/>
        <w:spacing w:after="0" w:line="369" w:lineRule="auto"/>
        <w:rPr>
          <w:sz w:val="20"/>
          <w:szCs w:val="20"/>
          <w:color w:val="auto"/>
        </w:rPr>
      </w:pPr>
      <w:r>
        <w:rPr>
          <w:rFonts w:ascii="Arial" w:cs="Arial" w:eastAsia="Arial" w:hAnsi="Arial"/>
          <w:sz w:val="15"/>
          <w:szCs w:val="15"/>
          <w:color w:val="auto"/>
        </w:rPr>
        <w:t>We believe that our EDO technology has the potential to facilitate the delivery of multiple classes of oligonucleotide therapeutics. To date, our efforts have primarily focused on the delivery of PMOs, but we are also actively pursuing the expansion of our cargo scope to other nucleic acid species.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peptide technologies</w:t>
      </w:r>
    </w:p>
    <w:p>
      <w:pPr>
        <w:spacing w:after="0" w:line="90" w:lineRule="exact"/>
        <w:rPr>
          <w:sz w:val="20"/>
          <w:szCs w:val="20"/>
          <w:color w:val="auto"/>
        </w:rPr>
      </w:pPr>
    </w:p>
    <w:p>
      <w:pPr>
        <w:ind w:left="200" w:right="20" w:firstLine="434"/>
        <w:spacing w:after="0" w:line="259" w:lineRule="auto"/>
        <w:rPr>
          <w:sz w:val="20"/>
          <w:szCs w:val="20"/>
          <w:color w:val="auto"/>
        </w:rPr>
      </w:pPr>
      <w:r>
        <w:rPr>
          <w:rFonts w:ascii="Arial" w:cs="Arial" w:eastAsia="Arial" w:hAnsi="Arial"/>
          <w:sz w:val="18"/>
          <w:szCs w:val="18"/>
          <w:color w:val="auto"/>
        </w:rPr>
        <w:t>We intend to further establish our expertise and competitive position in the field of oligonucleotide delivery through the ongoing research and development of new cell penetrating peptides. We will leverage our deep expertise in this field to design new peptides that target specific tissue types and improve our ability to fine-tune peptides for optimal cellular delivery and tissue selectivity.</w:t>
      </w: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00" w:right="260" w:firstLine="434"/>
        <w:spacing w:after="0" w:line="259" w:lineRule="auto"/>
        <w:rPr>
          <w:sz w:val="20"/>
          <w:szCs w:val="20"/>
          <w:color w:val="auto"/>
        </w:rPr>
      </w:pPr>
      <w:r>
        <w:rPr>
          <w:rFonts w:ascii="Arial" w:cs="Arial" w:eastAsia="Arial" w:hAnsi="Arial"/>
          <w:sz w:val="18"/>
          <w:szCs w:val="18"/>
          <w:color w:val="auto"/>
        </w:rPr>
        <w:t>Our goal is to become a leading biopharmaceutical company focused on the development and commercialization of oligonucleotide therapies to transform the lives of patients with severe neuromuscular and neurologic diseases. We aim to accomplish this goal by implementing the following strategies:</w:t>
      </w:r>
    </w:p>
    <w:p>
      <w:pPr>
        <w:spacing w:after="0" w:line="59" w:lineRule="exact"/>
        <w:rPr>
          <w:sz w:val="20"/>
          <w:szCs w:val="20"/>
          <w:color w:val="auto"/>
        </w:rPr>
      </w:pPr>
    </w:p>
    <w:p>
      <w:pPr>
        <w:ind w:left="1060" w:hanging="43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our lead product candidate, PGN-EDO51, through clinical trials and regulatory approval.</w:t>
      </w:r>
    </w:p>
    <w:p>
      <w:pPr>
        <w:spacing w:after="0" w:line="90" w:lineRule="exact"/>
        <w:rPr>
          <w:rFonts w:ascii="Arial" w:cs="Arial" w:eastAsia="Arial" w:hAnsi="Arial"/>
          <w:sz w:val="18"/>
          <w:szCs w:val="18"/>
          <w:color w:val="auto"/>
        </w:rPr>
      </w:pPr>
    </w:p>
    <w:p>
      <w:pPr>
        <w:ind w:left="1060" w:hanging="43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 PGN-EDODM1 through clinical trials and regulatory approval.</w:t>
      </w:r>
    </w:p>
    <w:p>
      <w:pPr>
        <w:spacing w:after="0" w:line="90" w:lineRule="exact"/>
        <w:rPr>
          <w:rFonts w:ascii="Arial" w:cs="Arial" w:eastAsia="Arial" w:hAnsi="Arial"/>
          <w:sz w:val="18"/>
          <w:szCs w:val="18"/>
          <w:color w:val="auto"/>
        </w:rPr>
      </w:pPr>
    </w:p>
    <w:p>
      <w:pPr>
        <w:ind w:left="1060" w:hanging="43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pipeline of oligonucleotide therapeutic candidates for the treatment of addition DMD patient populations.</w:t>
      </w:r>
    </w:p>
    <w:p>
      <w:pPr>
        <w:spacing w:after="0" w:line="90" w:lineRule="exact"/>
        <w:rPr>
          <w:rFonts w:ascii="Arial" w:cs="Arial" w:eastAsia="Arial" w:hAnsi="Arial"/>
          <w:sz w:val="18"/>
          <w:szCs w:val="18"/>
          <w:color w:val="auto"/>
        </w:rPr>
      </w:pPr>
    </w:p>
    <w:p>
      <w:pPr>
        <w:ind w:left="1060" w:hanging="434"/>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Leverage the full potential of our EDO technology to expand into other neuromuscular, neurological and cardiac disease areas.</w:t>
      </w:r>
    </w:p>
    <w:p>
      <w:pPr>
        <w:spacing w:after="0" w:line="113" w:lineRule="exact"/>
        <w:rPr>
          <w:rFonts w:ascii="Arial" w:cs="Arial" w:eastAsia="Arial" w:hAnsi="Arial"/>
          <w:sz w:val="16"/>
          <w:szCs w:val="16"/>
          <w:color w:val="auto"/>
        </w:rPr>
      </w:pPr>
    </w:p>
    <w:p>
      <w:pPr>
        <w:ind w:left="1060" w:hanging="43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the modular nature of our EDO platform to evaluate new cargos and peptide technologies.</w:t>
      </w:r>
    </w:p>
    <w:p>
      <w:pPr>
        <w:spacing w:after="0" w:line="90" w:lineRule="exact"/>
        <w:rPr>
          <w:rFonts w:ascii="Arial" w:cs="Arial" w:eastAsia="Arial" w:hAnsi="Arial"/>
          <w:sz w:val="18"/>
          <w:szCs w:val="18"/>
          <w:color w:val="auto"/>
        </w:rPr>
      </w:pPr>
    </w:p>
    <w:p>
      <w:pPr>
        <w:ind w:left="1060" w:hanging="434"/>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Maximize the value of our pipeline and our EDO platform by selectively exploring strategic collaborations.</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87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3873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Team and Investors</w:t>
      </w:r>
    </w:p>
    <w:p>
      <w:pPr>
        <w:spacing w:after="0" w:line="177" w:lineRule="exact"/>
        <w:rPr>
          <w:sz w:val="20"/>
          <w:szCs w:val="20"/>
          <w:color w:val="auto"/>
        </w:rPr>
      </w:pPr>
    </w:p>
    <w:p>
      <w:pPr>
        <w:ind w:left="200" w:right="300" w:firstLine="434"/>
        <w:spacing w:after="0" w:line="268" w:lineRule="auto"/>
        <w:rPr>
          <w:sz w:val="20"/>
          <w:szCs w:val="20"/>
          <w:color w:val="auto"/>
        </w:rPr>
      </w:pPr>
      <w:r>
        <w:rPr>
          <w:rFonts w:ascii="Arial" w:cs="Arial" w:eastAsia="Arial" w:hAnsi="Arial"/>
          <w:sz w:val="18"/>
          <w:szCs w:val="18"/>
          <w:color w:val="auto"/>
        </w:rPr>
        <w:t>Our mission is to deliver transformative therapeutics to those in need, and we believe our innovative technology is well-positioned to effect this change for patients, families and the broader healthcare community. As a company, we value:</w:t>
      </w:r>
    </w:p>
    <w:p>
      <w:pPr>
        <w:spacing w:after="0" w:line="45" w:lineRule="exact"/>
        <w:rPr>
          <w:sz w:val="20"/>
          <w:szCs w:val="20"/>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Research: </w:t>
      </w:r>
      <w:r>
        <w:rPr>
          <w:rFonts w:ascii="Arial" w:cs="Arial" w:eastAsia="Arial" w:hAnsi="Arial"/>
          <w:sz w:val="18"/>
          <w:szCs w:val="18"/>
          <w:color w:val="auto"/>
        </w:rPr>
        <w:t>We are a scientific company at heart, and we approach our work with an evidence-based mindset;</w:t>
      </w:r>
    </w:p>
    <w:p>
      <w:pPr>
        <w:spacing w:after="0" w:line="90" w:lineRule="exact"/>
        <w:rPr>
          <w:rFonts w:ascii="Arial" w:cs="Arial" w:eastAsia="Arial" w:hAnsi="Arial"/>
          <w:sz w:val="18"/>
          <w:szCs w:val="18"/>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Innovation: </w:t>
      </w:r>
      <w:r>
        <w:rPr>
          <w:rFonts w:ascii="Arial" w:cs="Arial" w:eastAsia="Arial" w:hAnsi="Arial"/>
          <w:sz w:val="18"/>
          <w:szCs w:val="18"/>
          <w:color w:val="auto"/>
        </w:rPr>
        <w:t>We are always exploring new ways to learn, build and improve across all facets of our company;</w:t>
      </w:r>
    </w:p>
    <w:p>
      <w:pPr>
        <w:spacing w:after="0" w:line="90" w:lineRule="exact"/>
        <w:rPr>
          <w:rFonts w:ascii="Arial" w:cs="Arial" w:eastAsia="Arial" w:hAnsi="Arial"/>
          <w:sz w:val="18"/>
          <w:szCs w:val="18"/>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Integrity: </w:t>
      </w:r>
      <w:r>
        <w:rPr>
          <w:rFonts w:ascii="Arial" w:cs="Arial" w:eastAsia="Arial" w:hAnsi="Arial"/>
          <w:sz w:val="18"/>
          <w:szCs w:val="18"/>
          <w:color w:val="auto"/>
        </w:rPr>
        <w:t>We act ethically and honestly in both science and business;</w:t>
      </w:r>
    </w:p>
    <w:p>
      <w:pPr>
        <w:spacing w:after="0" w:line="90" w:lineRule="exact"/>
        <w:rPr>
          <w:rFonts w:ascii="Arial" w:cs="Arial" w:eastAsia="Arial" w:hAnsi="Arial"/>
          <w:sz w:val="18"/>
          <w:szCs w:val="18"/>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Responsibility: </w:t>
      </w:r>
      <w:r>
        <w:rPr>
          <w:rFonts w:ascii="Arial" w:cs="Arial" w:eastAsia="Arial" w:hAnsi="Arial"/>
          <w:sz w:val="18"/>
          <w:szCs w:val="18"/>
          <w:color w:val="auto"/>
        </w:rPr>
        <w:t>As a therapeutic company, we appreciate the impact our work has on patients and their families.</w:t>
      </w:r>
    </w:p>
    <w:p>
      <w:pPr>
        <w:spacing w:after="0" w:line="177"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In support of our mission, we have assembled a leadership team with deep experience in research and development, clinical translation, regulatory affairs and corporate development. Our Chief Executive Officer, James McArthur, Ph.D., brings over 25 years of industry experience to the company, including roles at Imara, Cydan and Nightstar Therapeutics, with a specific focus on rare disease therapeutics. Dr McArthur is ably supported by Caroline Godfrey, Ph.D., our Senior Vice President of Discovery, who has over 15 years of research experience in DMD and exon skipping therapeutics at University College London and the University of Oxford and was our founding CEO; Niels Svenstrup, Ph.D., our Senior Vice President of Chemistry, Manufacturing and Control, who has extensive experience in the manufacturing and release of peptide drugs for late-stage clinical programs and has held roles at Ascendis Pharma, Cydan and Lundbeck, amongst others; and Jane Larkindale, D.Phil., our Vice President of Clinical Science, who—through roles at the Muscular Dystrophy Association, the Critical Path Institute and the Friedreich’s Ataxia Research Alliance—has over 15 years of experience in patient advocacy and therapeutic development for rare diseases. We have established a strong scientific advisory board, who bring a wealth of expertise from both the indication and therapeutic modality perspectives in their roles as academics, clinicians and drug developers.</w:t>
      </w:r>
    </w:p>
    <w:p>
      <w:pPr>
        <w:spacing w:after="0" w:line="122"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We were founded in 2018 with technology spun out from the University of Oxford and the Medical Research Council of United Kingdom Research and Innovation to further develop and commercialize this novel peptide delivery technology. This technology was created and refined over a decade by Michael Gait, Ph.D. and Professor Matthew Wood, M.D., Ph.D. We have exclusively licensed the patents, patent applications and know-how associated with this technology.</w:t>
      </w:r>
    </w:p>
    <w:p>
      <w:pPr>
        <w:spacing w:after="0" w:line="143"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To date, we have raised $163.7 million from a leading group of investors, including RA Capital Management, Oxford Science Enterprises, KAVRA 16 LLC, CureDuchenne Ventures, the University of Oxford, Viking Global Investors, Deerfield Management Company, Qatar Investment Authority, Adage Capital Management, Samsara Biocapital, Suvretta Capital Management, Laurion Capital Management, Tudor Investment Corporation and Gray’s Creek Capital Partners.</w:t>
      </w: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Associated with our Business</w:t>
      </w:r>
    </w:p>
    <w:p>
      <w:pPr>
        <w:spacing w:after="0" w:line="218" w:lineRule="exact"/>
        <w:rPr>
          <w:sz w:val="20"/>
          <w:szCs w:val="20"/>
          <w:color w:val="auto"/>
        </w:rPr>
      </w:pPr>
    </w:p>
    <w:p>
      <w:pPr>
        <w:ind w:left="1060" w:right="100" w:hanging="434"/>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have no products approved for sale and we expect to incur losses for the foreseeable future.</w:t>
      </w:r>
    </w:p>
    <w:p>
      <w:pPr>
        <w:spacing w:after="0" w:line="50" w:lineRule="exact"/>
        <w:rPr>
          <w:rFonts w:ascii="Arial" w:cs="Arial" w:eastAsia="Arial" w:hAnsi="Arial"/>
          <w:sz w:val="18"/>
          <w:szCs w:val="18"/>
          <w:color w:val="auto"/>
        </w:rPr>
      </w:pPr>
    </w:p>
    <w:p>
      <w:pPr>
        <w:ind w:left="1060" w:hanging="43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achieve or maintain profitability.</w:t>
      </w:r>
    </w:p>
    <w:p>
      <w:pPr>
        <w:spacing w:after="0" w:line="90" w:lineRule="exact"/>
        <w:rPr>
          <w:rFonts w:ascii="Arial" w:cs="Arial" w:eastAsia="Arial" w:hAnsi="Arial"/>
          <w:sz w:val="18"/>
          <w:szCs w:val="18"/>
          <w:color w:val="auto"/>
        </w:rPr>
      </w:pPr>
    </w:p>
    <w:p>
      <w:pPr>
        <w:ind w:left="1060" w:right="180" w:hanging="434"/>
        <w:spacing w:after="0" w:line="26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very early in our development efforts. We have not completed IND- or CTA-enabling activities, and have not advanced any product candidates into clinical development, and as a result it will be years</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320" w:top="459" w:right="5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44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3447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940" w:right="80"/>
        <w:spacing w:after="0" w:line="259" w:lineRule="auto"/>
        <w:rPr>
          <w:sz w:val="20"/>
          <w:szCs w:val="20"/>
          <w:color w:val="auto"/>
        </w:rPr>
      </w:pPr>
      <w:r>
        <w:rPr>
          <w:rFonts w:ascii="Arial" w:cs="Arial" w:eastAsia="Arial" w:hAnsi="Arial"/>
          <w:sz w:val="18"/>
          <w:szCs w:val="18"/>
          <w:color w:val="auto"/>
        </w:rPr>
        <w:t>before we commercialize a product candidate, if ever. If we are unable to advance our product candidates through preclinical studies and clinical trials, obtain marketing approval and ultimately commercialize them, or experience significant delays in doing so, our business will be materially harmed.</w:t>
      </w:r>
    </w:p>
    <w:p>
      <w:pPr>
        <w:spacing w:after="0" w:line="59" w:lineRule="exact"/>
        <w:rPr>
          <w:sz w:val="20"/>
          <w:szCs w:val="20"/>
          <w:color w:val="auto"/>
        </w:rPr>
      </w:pPr>
    </w:p>
    <w:p>
      <w:pPr>
        <w:ind w:left="1060" w:right="20" w:hanging="434"/>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our EDO platform is unproven, and we may not be successful in our efforts to identify, discover or develop potential product candidates.</w:t>
      </w:r>
    </w:p>
    <w:p>
      <w:pPr>
        <w:spacing w:after="0" w:line="50" w:lineRule="exact"/>
        <w:rPr>
          <w:rFonts w:ascii="Arial" w:cs="Arial" w:eastAsia="Arial" w:hAnsi="Arial"/>
          <w:sz w:val="18"/>
          <w:szCs w:val="18"/>
          <w:color w:val="auto"/>
        </w:rPr>
      </w:pPr>
    </w:p>
    <w:p>
      <w:pPr>
        <w:ind w:left="1060" w:right="120" w:hanging="434"/>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or all aspects of our product manufacturing, research and preclinical and clinical testing, and these third parties may not perform satisfactorily.</w:t>
      </w:r>
    </w:p>
    <w:p>
      <w:pPr>
        <w:spacing w:after="0" w:line="50" w:lineRule="exact"/>
        <w:rPr>
          <w:rFonts w:ascii="Arial" w:cs="Arial" w:eastAsia="Arial" w:hAnsi="Arial"/>
          <w:sz w:val="18"/>
          <w:szCs w:val="18"/>
          <w:color w:val="auto"/>
        </w:rPr>
      </w:pPr>
    </w:p>
    <w:p>
      <w:pPr>
        <w:ind w:left="1060" w:right="720" w:hanging="434"/>
        <w:spacing w:after="0" w:line="331"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of our product candidates are still in preclinical development. As an organization, we have never conducted any clinical trials or submitted an application for regulatory approval, and may be unable to do so for any of our product candidates.</w:t>
      </w:r>
    </w:p>
    <w:p>
      <w:pPr>
        <w:spacing w:after="0" w:line="5" w:lineRule="exact"/>
        <w:rPr>
          <w:rFonts w:ascii="Arial" w:cs="Arial" w:eastAsia="Arial" w:hAnsi="Arial"/>
          <w:sz w:val="16"/>
          <w:szCs w:val="16"/>
          <w:color w:val="auto"/>
        </w:rPr>
      </w:pPr>
    </w:p>
    <w:p>
      <w:pPr>
        <w:ind w:left="1060" w:right="40" w:hanging="434"/>
        <w:spacing w:after="0" w:line="29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marketing approval process is expensive, time-consuming and uncertain and may prevent us from obtaining approvals for the commercialization of our product candidates. If we are not able to obtain, or if there are delays in obtaining, required regulatory approvals, we will not be able to commercialize, or will be delayed in commercializing, our product candidates, and our ability to generate revenue will be materially impaired.</w:t>
      </w:r>
    </w:p>
    <w:p>
      <w:pPr>
        <w:spacing w:after="0" w:line="31" w:lineRule="exact"/>
        <w:rPr>
          <w:rFonts w:ascii="Arial" w:cs="Arial" w:eastAsia="Arial" w:hAnsi="Arial"/>
          <w:sz w:val="16"/>
          <w:szCs w:val="16"/>
          <w:color w:val="auto"/>
        </w:rPr>
      </w:pPr>
    </w:p>
    <w:p>
      <w:pPr>
        <w:ind w:left="1060" w:right="720" w:hanging="434"/>
        <w:spacing w:after="0" w:line="26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us or more successfully than we do.</w:t>
      </w:r>
    </w:p>
    <w:p>
      <w:pPr>
        <w:spacing w:after="0" w:line="50" w:lineRule="exact"/>
        <w:rPr>
          <w:rFonts w:ascii="Arial" w:cs="Arial" w:eastAsia="Arial" w:hAnsi="Arial"/>
          <w:sz w:val="18"/>
          <w:szCs w:val="18"/>
          <w:color w:val="auto"/>
        </w:rPr>
      </w:pPr>
    </w:p>
    <w:p>
      <w:pPr>
        <w:ind w:left="1060" w:right="40" w:hanging="434"/>
        <w:spacing w:after="0" w:line="29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w:t>
      </w:r>
    </w:p>
    <w:p>
      <w:pPr>
        <w:spacing w:after="0" w:line="31" w:lineRule="exact"/>
        <w:rPr>
          <w:rFonts w:ascii="Arial" w:cs="Arial" w:eastAsia="Arial" w:hAnsi="Arial"/>
          <w:sz w:val="16"/>
          <w:szCs w:val="16"/>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Impact of COVID-19</w:t>
      </w:r>
    </w:p>
    <w:p>
      <w:pPr>
        <w:spacing w:after="0" w:line="177"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The COVID-19 pandemic continues to present a substantial public health and economic challenge around the world, and to date has led to the implementation of various responses, including government-imposed quarantines, stay-at-home orders, travel restrictions, mandated business closures and other public health safety measures.</w:t>
      </w:r>
    </w:p>
    <w:p>
      <w:pPr>
        <w:spacing w:after="0" w:line="140" w:lineRule="exact"/>
        <w:rPr>
          <w:sz w:val="20"/>
          <w:szCs w:val="20"/>
          <w:color w:val="auto"/>
        </w:rPr>
      </w:pPr>
    </w:p>
    <w:p>
      <w:pPr>
        <w:ind w:left="200" w:right="140" w:firstLine="434"/>
        <w:spacing w:after="0" w:line="291" w:lineRule="auto"/>
        <w:rPr>
          <w:sz w:val="20"/>
          <w:szCs w:val="20"/>
          <w:color w:val="auto"/>
        </w:rPr>
      </w:pPr>
      <w:r>
        <w:rPr>
          <w:rFonts w:ascii="Arial" w:cs="Arial" w:eastAsia="Arial" w:hAnsi="Arial"/>
          <w:sz w:val="16"/>
          <w:szCs w:val="16"/>
          <w:color w:val="auto"/>
        </w:rPr>
        <w:t>We continue to closely monitor the impact of the ongoing COVID-19 pandemic on all aspects of our business, including how it has and will continue to impact our operations and the operations of our suppliers, vendors and business partners, and may take further precautionary and preemptive actions as may be required by federal, state or local authorities. In addition, we have taken steps to minimize the current environment’s impact on our business and strategy, including devising contingency plans and securing additional resources from third party service providers. For the safety of our employees and families, we have introduced enhanced safety measures for scientists to be present in our labs and increased the use of third party service providers for the conduct of certain experiments and studies for research programs.</w:t>
      </w:r>
    </w:p>
    <w:p>
      <w:pPr>
        <w:spacing w:after="0" w:line="120" w:lineRule="exact"/>
        <w:rPr>
          <w:sz w:val="20"/>
          <w:szCs w:val="20"/>
          <w:color w:val="auto"/>
        </w:rPr>
      </w:pPr>
    </w:p>
    <w:p>
      <w:pPr>
        <w:ind w:left="200" w:right="280" w:firstLine="434"/>
        <w:spacing w:after="0" w:line="268" w:lineRule="auto"/>
        <w:rPr>
          <w:sz w:val="20"/>
          <w:szCs w:val="20"/>
          <w:color w:val="auto"/>
        </w:rPr>
      </w:pPr>
      <w:r>
        <w:rPr>
          <w:rFonts w:ascii="Arial" w:cs="Arial" w:eastAsia="Arial" w:hAnsi="Arial"/>
          <w:sz w:val="18"/>
          <w:szCs w:val="18"/>
          <w:color w:val="auto"/>
        </w:rPr>
        <w:t>Beyond the impact on our pipeline, the extent to which COVID-19 ultimately impacts our business, results of operations and financial condition will depend on future developments, which remain highly uncertain and</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19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61911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cannot be predicted with confidence, such as the duration of the outbreak, the emergence of new variants, new information that may emerge concerning the severity of COVID-19 or the effectiveness of actions taken to contain COVID-19 or treat its impact, including vaccination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results of operations and financial condition. Although to date, our business has not been materially impacted by COVID-19, it is possible that our clinical development timelines could be negatively affected by COVID-19, which could materially and adversely affect our business, financial condition and results of operations. See “Risk Factors” for a discussion of the potential adverse impact of the COVID-19 pandemic on our business, financial condition and results of operations.</w:t>
      </w:r>
    </w:p>
    <w:p>
      <w:pPr>
        <w:spacing w:after="0" w:line="1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History</w:t>
      </w:r>
    </w:p>
    <w:p>
      <w:pPr>
        <w:spacing w:after="0" w:line="177" w:lineRule="exact"/>
        <w:rPr>
          <w:sz w:val="20"/>
          <w:szCs w:val="20"/>
          <w:color w:val="auto"/>
        </w:rPr>
      </w:pPr>
    </w:p>
    <w:p>
      <w:pPr>
        <w:ind w:left="200" w:firstLine="434"/>
        <w:spacing w:after="0" w:line="287" w:lineRule="auto"/>
        <w:rPr>
          <w:sz w:val="20"/>
          <w:szCs w:val="20"/>
          <w:color w:val="auto"/>
        </w:rPr>
      </w:pPr>
      <w:r>
        <w:rPr>
          <w:rFonts w:ascii="Arial" w:cs="Arial" w:eastAsia="Arial" w:hAnsi="Arial"/>
          <w:sz w:val="16"/>
          <w:szCs w:val="16"/>
          <w:color w:val="auto"/>
        </w:rPr>
        <w:t>We were initially formed as PepGen Limited on January 25, 2018, in the United Kingdom. On November 9, 2020, PepGen Limited initiated a corporate reorganization, or the Reorganization. As part of the Reorganization, PepGen Limited formed PepGen Inc., a Delaware corporation with nominal assets and liabilities, for the purpose of consummating the Reorganization. In connection with the Reorganization, the existing shareholders of PepGen Limited exchanged each of its classes of shares of PepGen Limited for the same number and class of common stock of PepGen Inc. on a one-to-one basis. The newly issued stock of PepGen Inc. had substantially identical rights to the exchanged shares of PepGen Limited. As a result of the exchange, PepGen Inc. became the sole shareholder of PepGen Limited. Upon the completion of the Reorganization on November 23, 2020, the historical financial statements of PepGen Limited became the historical financial statements of PepGen Inc. as the Reorganization was deemed to be between entities under common control. Our principal corporate office is located at 245 Main Street, Cambridge, Massachusetts 02142, and our telephone number is (781) 797-0979. Our website address is https://pepgen.com/. We do not incorporate the information on or accessible through our website into this prospectus, and you should not consider any information on, or that can be accessed through, our website as part of this prospectus.</w:t>
      </w:r>
    </w:p>
    <w:p>
      <w:pPr>
        <w:spacing w:after="0" w:line="122" w:lineRule="exact"/>
        <w:rPr>
          <w:sz w:val="20"/>
          <w:szCs w:val="20"/>
          <w:color w:val="auto"/>
        </w:rPr>
      </w:pPr>
    </w:p>
    <w:p>
      <w:pPr>
        <w:ind w:left="200" w:right="20" w:firstLine="434"/>
        <w:spacing w:after="0" w:line="256" w:lineRule="auto"/>
        <w:rPr>
          <w:sz w:val="20"/>
          <w:szCs w:val="20"/>
          <w:color w:val="auto"/>
        </w:rPr>
      </w:pPr>
      <w:r>
        <w:rPr>
          <w:rFonts w:ascii="Arial" w:cs="Arial" w:eastAsia="Arial" w:hAnsi="Arial"/>
          <w:sz w:val="18"/>
          <w:szCs w:val="18"/>
          <w:color w:val="auto"/>
        </w:rPr>
        <w:t xml:space="preserve">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11"/>
          <w:szCs w:val="11"/>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w:t>
      </w:r>
    </w:p>
    <w:p>
      <w:pPr>
        <w:spacing w:after="0" w:line="2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77" w:lineRule="exact"/>
        <w:rPr>
          <w:sz w:val="20"/>
          <w:szCs w:val="20"/>
          <w:color w:val="auto"/>
        </w:rPr>
      </w:pPr>
    </w:p>
    <w:p>
      <w:pPr>
        <w:ind w:left="200" w:right="80" w:firstLine="434"/>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59" w:lineRule="exact"/>
        <w:rPr>
          <w:sz w:val="20"/>
          <w:szCs w:val="20"/>
          <w:color w:val="auto"/>
        </w:rPr>
      </w:pPr>
    </w:p>
    <w:p>
      <w:pPr>
        <w:ind w:left="1060" w:right="160" w:hanging="434"/>
        <w:spacing w:after="0" w:line="331"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5" w:lineRule="exact"/>
        <w:rPr>
          <w:rFonts w:ascii="Arial" w:cs="Arial" w:eastAsia="Arial" w:hAnsi="Arial"/>
          <w:sz w:val="16"/>
          <w:szCs w:val="16"/>
          <w:color w:val="auto"/>
        </w:rPr>
      </w:pPr>
    </w:p>
    <w:p>
      <w:pPr>
        <w:ind w:left="1060" w:hanging="43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90" w:lineRule="exact"/>
        <w:rPr>
          <w:rFonts w:ascii="Arial" w:cs="Arial" w:eastAsia="Arial" w:hAnsi="Arial"/>
          <w:sz w:val="18"/>
          <w:szCs w:val="18"/>
          <w:color w:val="auto"/>
        </w:rPr>
      </w:pPr>
    </w:p>
    <w:p>
      <w:pPr>
        <w:ind w:left="1060" w:right="20" w:hanging="434"/>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 and</w:t>
      </w:r>
    </w:p>
    <w:p>
      <w:pPr>
        <w:spacing w:after="0" w:line="50" w:lineRule="exact"/>
        <w:rPr>
          <w:rFonts w:ascii="Arial" w:cs="Arial" w:eastAsia="Arial" w:hAnsi="Arial"/>
          <w:sz w:val="18"/>
          <w:szCs w:val="18"/>
          <w:color w:val="auto"/>
        </w:rPr>
      </w:pPr>
    </w:p>
    <w:p>
      <w:pPr>
        <w:ind w:left="1060" w:right="200" w:hanging="434"/>
        <w:spacing w:after="0" w:line="268"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of 2002, as amended, in the assessment of our internal control over financial reporting.</w:t>
      </w:r>
    </w:p>
    <w:p>
      <w:pPr>
        <w:spacing w:after="0" w:line="1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978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29787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200" w:firstLine="434"/>
        <w:spacing w:after="0" w:line="286" w:lineRule="auto"/>
        <w:rPr>
          <w:sz w:val="20"/>
          <w:szCs w:val="20"/>
          <w:color w:val="auto"/>
        </w:rPr>
      </w:pPr>
      <w:r>
        <w:rPr>
          <w:rFonts w:ascii="Arial" w:cs="Arial" w:eastAsia="Arial" w:hAnsi="Arial"/>
          <w:sz w:val="16"/>
          <w:szCs w:val="16"/>
          <w:color w:val="auto"/>
        </w:rPr>
        <w:t>We may take advantage of these exemptions until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$1.07 billion or more; (ii) the last day of our fiscal year following the fifth anniversary of the date of the completion of this offering; (iii) the date on which we have issued more than $1.0 billion in nonconvertible debt during the previous three years; or (iv) the last day of the fiscal year in which we are deemed to be a large accelerated filer under the rules of the Securities and Exchange Commission, or SEC, which means the market value of our common stock that is held by non-affiliates exceeds $700.0 million as of the prior June 30th.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are in the process of evaluating the benefits of relying on other exemptions and reduced reporting requirements under the JOBS Act. Subject to certain conditions, as an emerging growth company, we may rely on certain of these exemptions, including without limitation, providing an auditor’s attestation report on our system of internal controls over financial reporting pursuant to Section 404(b) of the Sarbanes-Oxley Act.</w:t>
      </w:r>
    </w:p>
    <w:p>
      <w:pPr>
        <w:spacing w:after="0" w:line="126" w:lineRule="exact"/>
        <w:rPr>
          <w:sz w:val="20"/>
          <w:szCs w:val="20"/>
          <w:color w:val="auto"/>
        </w:rPr>
      </w:pPr>
    </w:p>
    <w:p>
      <w:pPr>
        <w:ind w:left="200" w:right="60" w:firstLine="434"/>
        <w:spacing w:after="0" w:line="288" w:lineRule="auto"/>
        <w:rPr>
          <w:sz w:val="20"/>
          <w:szCs w:val="20"/>
          <w:color w:val="auto"/>
        </w:rPr>
      </w:pPr>
      <w:r>
        <w:rPr>
          <w:rFonts w:ascii="Arial" w:cs="Arial" w:eastAsia="Arial" w:hAnsi="Arial"/>
          <w:sz w:val="16"/>
          <w:szCs w:val="16"/>
          <w:color w:val="auto"/>
        </w:rPr>
        <w:t>We are also a “smaller reporting company” as defined under the Securities Act and Exchange Act. We may continue to be a smaller reporting company so long as either (i) the market value of shares of our common stock held by non-affiliates is less than $250 million or (ii) our annual revenue was less than $100 million during the most recently completed fiscal year and the market value of shares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47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1473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60"/>
          </w:cols>
          <w:pgMar w:left="320" w:top="459" w:right="519" w:bottom="1440" w:gutter="0" w:footer="0" w:header="0"/>
        </w:sect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138" w:lineRule="exact"/>
        <w:rPr>
          <w:sz w:val="20"/>
          <w:szCs w:val="20"/>
          <w:color w:val="auto"/>
        </w:rPr>
      </w:pPr>
    </w:p>
    <w:p>
      <w:pPr>
        <w:sectPr>
          <w:pgSz w:w="11900" w:h="16838" w:orient="portrait"/>
          <w:cols w:equalWidth="0" w:num="2">
            <w:col w:w="4260" w:space="720"/>
            <w:col w:w="6080"/>
          </w:cols>
          <w:pgMar w:left="320" w:top="459" w:right="519" w:bottom="1440" w:gutter="0" w:footer="0" w:header="0"/>
          <w:type w:val="continuous"/>
        </w:sectPr>
      </w:pPr>
    </w:p>
    <w:p>
      <w:pPr>
        <w:ind w:left="280" w:hanging="82"/>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jc w:val="right"/>
        <w:spacing w:after="0" w:line="366" w:lineRule="auto"/>
        <w:rPr>
          <w:sz w:val="20"/>
          <w:szCs w:val="20"/>
          <w:color w:val="auto"/>
        </w:rPr>
      </w:pPr>
      <w:r>
        <w:rPr>
          <w:rFonts w:ascii="Arial" w:cs="Arial" w:eastAsia="Arial" w:hAnsi="Arial"/>
          <w:sz w:val="15"/>
          <w:szCs w:val="15"/>
          <w:color w:val="auto"/>
        </w:rPr>
        <w:t>shares ( shares in full).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if the underwriters exercise their option to purchase additional</w:t>
      </w:r>
    </w:p>
    <w:p>
      <w:pPr>
        <w:spacing w:after="0" w:line="354" w:lineRule="exact"/>
        <w:rPr>
          <w:sz w:val="20"/>
          <w:szCs w:val="20"/>
          <w:color w:val="auto"/>
        </w:rPr>
      </w:pPr>
    </w:p>
    <w:p>
      <w:pPr>
        <w:sectPr>
          <w:pgSz w:w="11900" w:h="16838" w:orient="portrait"/>
          <w:cols w:equalWidth="0" w:num="3">
            <w:col w:w="4100" w:space="320"/>
            <w:col w:w="1060" w:space="580"/>
            <w:col w:w="5000"/>
          </w:cols>
          <w:pgMar w:left="320" w:top="459" w:right="5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up to additional shares from us.</w:t>
      </w:r>
    </w:p>
    <w:p>
      <w:pPr>
        <w:spacing w:after="0" w:line="51" w:lineRule="exact"/>
        <w:rPr>
          <w:sz w:val="20"/>
          <w:szCs w:val="20"/>
          <w:color w:val="auto"/>
        </w:rPr>
      </w:pPr>
    </w:p>
    <w:p>
      <w:pPr>
        <w:sectPr>
          <w:pgSz w:w="11900" w:h="16838" w:orient="portrait"/>
          <w:cols w:equalWidth="0" w:num="2">
            <w:col w:w="3700" w:space="720"/>
            <w:col w:w="6640"/>
          </w:cols>
          <w:pgMar w:left="320" w:top="459" w:right="5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60"/>
        <w:spacing w:after="0" w:line="284" w:lineRule="auto"/>
        <w:rPr>
          <w:sz w:val="20"/>
          <w:szCs w:val="20"/>
          <w:color w:val="auto"/>
        </w:rPr>
      </w:pPr>
      <w:r>
        <w:rPr>
          <w:rFonts w:ascii="Arial" w:cs="Arial" w:eastAsia="Arial" w:hAnsi="Arial"/>
          <w:sz w:val="16"/>
          <w:szCs w:val="16"/>
          <w:color w:val="auto"/>
        </w:rPr>
        <w:t>We estimate that our net proceeds to us from the sale of shares of our common stock in this offering will be approximately $ million, or $ million if the underwriters exercise in full their option to purchase additional shares, assuming an initial public offering price of</w:t>
      </w:r>
    </w:p>
    <w:p>
      <w:pPr>
        <w:spacing w:after="0" w:line="1" w:lineRule="exact"/>
        <w:rPr>
          <w:sz w:val="20"/>
          <w:szCs w:val="20"/>
          <w:color w:val="auto"/>
        </w:rPr>
      </w:pPr>
    </w:p>
    <w:p>
      <w:pPr>
        <w:sectPr>
          <w:pgSz w:w="11900" w:h="16838" w:orient="portrait"/>
          <w:cols w:equalWidth="0" w:num="2">
            <w:col w:w="3700" w:space="720"/>
            <w:col w:w="6640"/>
          </w:cols>
          <w:pgMar w:left="320" w:top="459" w:right="519" w:bottom="1440" w:gutter="0" w:footer="0" w:header="0"/>
          <w:type w:val="continuous"/>
        </w:sectPr>
      </w:pPr>
    </w:p>
    <w:p>
      <w:pPr>
        <w:ind w:left="4420" w:right="200" w:hanging="1"/>
        <w:spacing w:after="0" w:line="312" w:lineRule="auto"/>
        <w:tabs>
          <w:tab w:leader="none" w:pos="4903"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 share, which is the midpoint of the price range set forth on the cover page of this prospectus, and after deducting estimated underwriting discounts and commissions and estimated offering expenses payable by us. We intend to use the net proceeds from this offering to fund the development of our PGN-EDO51, PGN-EDODM1 and PGN-EDO53 programs, the further development of our pipeline and platform and for working capital and other general corporate purposes. See “Use of Proceeds” for additional information.</w:t>
      </w:r>
    </w:p>
    <w:p>
      <w:pPr>
        <w:sectPr>
          <w:pgSz w:w="11900" w:h="16838" w:orient="portrait"/>
          <w:cols w:equalWidth="0" w:num="1">
            <w:col w:w="11060"/>
          </w:cols>
          <w:pgMar w:left="320" w:top="459" w:right="51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40"/>
        <w:spacing w:after="0" w:line="331" w:lineRule="auto"/>
        <w:rPr>
          <w:sz w:val="20"/>
          <w:szCs w:val="20"/>
          <w:color w:val="auto"/>
        </w:rPr>
      </w:pPr>
      <w:r>
        <w:rPr>
          <w:rFonts w:ascii="Arial" w:cs="Arial" w:eastAsia="Arial" w:hAnsi="Arial"/>
          <w:sz w:val="16"/>
          <w:szCs w:val="16"/>
          <w:color w:val="auto"/>
        </w:rPr>
        <w:t>You should carefully read the “Risk Factors” section of this prospectus for a discussion of factors that you should consider before deciding to invest in our common stock.</w:t>
      </w:r>
    </w:p>
    <w:p>
      <w:pPr>
        <w:spacing w:after="0" w:line="6" w:lineRule="exact"/>
        <w:rPr>
          <w:sz w:val="20"/>
          <w:szCs w:val="20"/>
          <w:color w:val="auto"/>
        </w:rPr>
      </w:pPr>
    </w:p>
    <w:p>
      <w:pPr>
        <w:sectPr>
          <w:pgSz w:w="11900" w:h="16838" w:orient="portrait"/>
          <w:cols w:equalWidth="0" w:num="2">
            <w:col w:w="3700" w:space="720"/>
            <w:col w:w="6640"/>
          </w:cols>
          <w:pgMar w:left="320" w:top="459" w:right="5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“PEPG”</w:t>
      </w:r>
    </w:p>
    <w:p>
      <w:pPr>
        <w:spacing w:after="0" w:line="200" w:lineRule="exact"/>
        <w:rPr>
          <w:sz w:val="20"/>
          <w:szCs w:val="20"/>
          <w:color w:val="auto"/>
        </w:rPr>
      </w:pPr>
    </w:p>
    <w:p>
      <w:pPr>
        <w:sectPr>
          <w:pgSz w:w="11900" w:h="16838" w:orient="portrait"/>
          <w:cols w:equalWidth="0" w:num="2">
            <w:col w:w="3700" w:space="720"/>
            <w:col w:w="6640"/>
          </w:cols>
          <w:pgMar w:left="320" w:top="459" w:right="519" w:bottom="1440" w:gutter="0" w:footer="0" w:header="0"/>
          <w:type w:val="continuous"/>
        </w:sectPr>
      </w:pPr>
    </w:p>
    <w:p>
      <w:pPr>
        <w:spacing w:after="0" w:line="8" w:lineRule="exact"/>
        <w:rPr>
          <w:sz w:val="20"/>
          <w:szCs w:val="20"/>
          <w:color w:val="auto"/>
        </w:rPr>
      </w:pPr>
    </w:p>
    <w:p>
      <w:pPr>
        <w:ind w:left="200" w:firstLine="434"/>
        <w:spacing w:after="0" w:line="306" w:lineRule="auto"/>
        <w:rPr>
          <w:sz w:val="20"/>
          <w:szCs w:val="20"/>
          <w:color w:val="auto"/>
        </w:rPr>
      </w:pPr>
      <w:r>
        <w:rPr>
          <w:rFonts w:ascii="Arial" w:cs="Arial" w:eastAsia="Arial" w:hAnsi="Arial"/>
          <w:sz w:val="16"/>
          <w:szCs w:val="16"/>
          <w:color w:val="auto"/>
        </w:rPr>
        <w:t>The number of shares of our common stock to be outstanding after this offering is based on 1,051,720 shares of our common stock outstanding as of June 30, 2021, including 141,560 shares of unvested restricted common stock, and 3,473,806 shares of our common stock issuable upon the automatic conversion of all outstanding shares of our convertible preferred stock immediately prior to the completion of this offering, and excludes:</w:t>
      </w:r>
    </w:p>
    <w:p>
      <w:pPr>
        <w:spacing w:after="0" w:line="25" w:lineRule="exact"/>
        <w:rPr>
          <w:sz w:val="20"/>
          <w:szCs w:val="20"/>
          <w:color w:val="auto"/>
        </w:rPr>
      </w:pPr>
    </w:p>
    <w:p>
      <w:pPr>
        <w:ind w:left="1060" w:right="420" w:hanging="434"/>
        <w:spacing w:after="0" w:line="331"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35,529 shares of Series A-2 convertible preferred stock issuable upon the exercise of outstanding preferred stock warrants as of June 30, 2021, at an exercise price of $11.42 per share, which will convert into 35,529 shares of our common stock;</w:t>
      </w:r>
    </w:p>
    <w:p>
      <w:pPr>
        <w:spacing w:after="0" w:line="5" w:lineRule="exact"/>
        <w:rPr>
          <w:rFonts w:ascii="Arial" w:cs="Arial" w:eastAsia="Arial" w:hAnsi="Arial"/>
          <w:sz w:val="16"/>
          <w:szCs w:val="16"/>
          <w:color w:val="auto"/>
        </w:rPr>
      </w:pPr>
    </w:p>
    <w:p>
      <w:pPr>
        <w:ind w:left="1060" w:right="140" w:hanging="434"/>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624,964 shares of common stock issuable upon the exercise of stock options outstanding as of June 30, 2021, at a weighted average exercise price of $2.32 per share;</w:t>
      </w:r>
    </w:p>
    <w:p>
      <w:pPr>
        <w:spacing w:after="0" w:line="50" w:lineRule="exact"/>
        <w:rPr>
          <w:rFonts w:ascii="Arial" w:cs="Arial" w:eastAsia="Arial" w:hAnsi="Arial"/>
          <w:sz w:val="18"/>
          <w:szCs w:val="18"/>
          <w:color w:val="auto"/>
        </w:rPr>
      </w:pPr>
    </w:p>
    <w:p>
      <w:pPr>
        <w:ind w:left="1060" w:right="80" w:hanging="434"/>
        <w:spacing w:after="0" w:line="268"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230,112 shares of our common stock reserved for future issuance under our existing equity incentive plans, which will no longer be available following the effectiveness of our 2021 Plan described below;</w:t>
      </w:r>
    </w:p>
    <w:p>
      <w:pPr>
        <w:spacing w:after="0" w:line="50" w:lineRule="exact"/>
        <w:rPr>
          <w:rFonts w:ascii="Arial" w:cs="Arial" w:eastAsia="Arial" w:hAnsi="Arial"/>
          <w:sz w:val="18"/>
          <w:szCs w:val="18"/>
          <w:color w:val="auto"/>
        </w:rPr>
      </w:pPr>
    </w:p>
    <w:p>
      <w:pPr>
        <w:ind w:left="1060" w:right="40" w:hanging="434"/>
        <w:spacing w:after="0" w:line="268" w:lineRule="auto"/>
        <w:tabs>
          <w:tab w:leader="none" w:pos="15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Stock Option and Incentive Plan, or 2021 Plan, which will be adopted in connection with this offering; and</w:t>
      </w:r>
    </w:p>
    <w:p>
      <w:pPr>
        <w:spacing w:after="0" w:line="50" w:lineRule="exact"/>
        <w:rPr>
          <w:rFonts w:ascii="Arial" w:cs="Arial" w:eastAsia="Arial" w:hAnsi="Arial"/>
          <w:sz w:val="18"/>
          <w:szCs w:val="18"/>
          <w:color w:val="auto"/>
        </w:rPr>
      </w:pPr>
    </w:p>
    <w:p>
      <w:pPr>
        <w:ind w:left="1060" w:right="460" w:hanging="434"/>
        <w:spacing w:after="0" w:line="268" w:lineRule="auto"/>
        <w:tabs>
          <w:tab w:leader="none" w:pos="15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2021 Employee Stock Purchase Plan, or ESPP, which will be adopted in connection with this offering.</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675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67576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indicated, all information in this prospectus assumes or gives effect to:</w:t>
      </w:r>
    </w:p>
    <w:p>
      <w:pPr>
        <w:spacing w:after="0" w:line="90" w:lineRule="exact"/>
        <w:rPr>
          <w:sz w:val="20"/>
          <w:szCs w:val="20"/>
          <w:color w:val="auto"/>
        </w:rPr>
      </w:pPr>
    </w:p>
    <w:p>
      <w:pPr>
        <w:ind w:left="1060" w:hanging="434"/>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re-designation of all Class A common stock into shares of common stock immediately prior to the completion of this offering;</w:t>
      </w:r>
    </w:p>
    <w:p>
      <w:pPr>
        <w:spacing w:after="0" w:line="113" w:lineRule="exact"/>
        <w:rPr>
          <w:rFonts w:ascii="Arial" w:cs="Arial" w:eastAsia="Arial" w:hAnsi="Arial"/>
          <w:sz w:val="16"/>
          <w:szCs w:val="16"/>
          <w:color w:val="auto"/>
        </w:rPr>
      </w:pPr>
    </w:p>
    <w:p>
      <w:pPr>
        <w:ind w:left="1060" w:right="420" w:hanging="434"/>
        <w:spacing w:after="0" w:line="26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3,473,806 shares of our common stock immediately prior to the completion of this offering;</w:t>
      </w:r>
    </w:p>
    <w:p>
      <w:pPr>
        <w:spacing w:after="0" w:line="50" w:lineRule="exact"/>
        <w:rPr>
          <w:rFonts w:ascii="Arial" w:cs="Arial" w:eastAsia="Arial" w:hAnsi="Arial"/>
          <w:sz w:val="18"/>
          <w:szCs w:val="18"/>
          <w:color w:val="auto"/>
        </w:rPr>
      </w:pPr>
    </w:p>
    <w:p>
      <w:pPr>
        <w:ind w:left="1060" w:hanging="43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options or warrants described above;</w:t>
      </w:r>
    </w:p>
    <w:p>
      <w:pPr>
        <w:spacing w:after="0" w:line="90" w:lineRule="exact"/>
        <w:rPr>
          <w:sz w:val="20"/>
          <w:szCs w:val="20"/>
          <w:color w:val="auto"/>
        </w:rPr>
      </w:pPr>
    </w:p>
    <w:p>
      <w:pPr>
        <w:ind w:left="620"/>
        <w:spacing w:after="0"/>
        <w:tabs>
          <w:tab w:leader="none" w:pos="1040" w:val="left"/>
          <w:tab w:leader="none" w:pos="7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 an additional</w:t>
      </w:r>
      <w:r>
        <w:rPr>
          <w:sz w:val="20"/>
          <w:szCs w:val="20"/>
          <w:color w:val="auto"/>
        </w:rPr>
        <w:tab/>
      </w:r>
      <w:r>
        <w:rPr>
          <w:rFonts w:ascii="Arial" w:cs="Arial" w:eastAsia="Arial" w:hAnsi="Arial"/>
          <w:sz w:val="16"/>
          <w:szCs w:val="16"/>
          <w:color w:val="auto"/>
        </w:rPr>
        <w:t>shares of our common stock in this offering;</w:t>
      </w:r>
    </w:p>
    <w:p>
      <w:pPr>
        <w:spacing w:after="0" w:line="90" w:lineRule="exact"/>
        <w:rPr>
          <w:sz w:val="20"/>
          <w:szCs w:val="20"/>
          <w:color w:val="auto"/>
        </w:rPr>
      </w:pPr>
    </w:p>
    <w:p>
      <w:pPr>
        <w:ind w:left="620"/>
        <w:spacing w:after="0"/>
        <w:tabs>
          <w:tab w:leader="none" w:pos="1040" w:val="left"/>
          <w:tab w:leader="none" w:pos="2340" w:val="left"/>
          <w:tab w:leader="none" w:pos="7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one-for-</w:t>
      </w:r>
      <w:r>
        <w:rPr>
          <w:sz w:val="20"/>
          <w:szCs w:val="20"/>
          <w:color w:val="auto"/>
        </w:rPr>
        <w:tab/>
      </w:r>
      <w:r>
        <w:rPr>
          <w:rFonts w:ascii="Arial" w:cs="Arial" w:eastAsia="Arial" w:hAnsi="Arial"/>
          <w:sz w:val="18"/>
          <w:szCs w:val="18"/>
          <w:color w:val="auto"/>
        </w:rPr>
        <w:t>split of our common stock, which became effective on</w:t>
      </w:r>
      <w:r>
        <w:rPr>
          <w:sz w:val="20"/>
          <w:szCs w:val="20"/>
          <w:color w:val="auto"/>
        </w:rPr>
        <w:tab/>
      </w:r>
      <w:r>
        <w:rPr>
          <w:rFonts w:ascii="Arial" w:cs="Arial" w:eastAsia="Arial" w:hAnsi="Arial"/>
          <w:sz w:val="15"/>
          <w:szCs w:val="15"/>
          <w:color w:val="auto"/>
        </w:rPr>
        <w:t>; and</w:t>
      </w:r>
    </w:p>
    <w:p>
      <w:pPr>
        <w:spacing w:after="0" w:line="90" w:lineRule="exact"/>
        <w:rPr>
          <w:sz w:val="20"/>
          <w:szCs w:val="20"/>
          <w:color w:val="auto"/>
        </w:rPr>
      </w:pPr>
    </w:p>
    <w:p>
      <w:pPr>
        <w:ind w:left="1060" w:hanging="434"/>
        <w:spacing w:after="0" w:line="268"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in connection with the completion of this offering.</w:t>
      </w:r>
    </w:p>
    <w:p>
      <w:pPr>
        <w:spacing w:after="0" w:line="13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27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56273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168" w:lineRule="exact"/>
        <w:rPr>
          <w:sz w:val="20"/>
          <w:szCs w:val="20"/>
          <w:color w:val="auto"/>
        </w:rPr>
      </w:pPr>
    </w:p>
    <w:p>
      <w:pPr>
        <w:ind w:left="200" w:right="60" w:firstLine="434"/>
        <w:spacing w:after="0" w:line="287" w:lineRule="auto"/>
        <w:rPr>
          <w:sz w:val="20"/>
          <w:szCs w:val="20"/>
          <w:color w:val="auto"/>
        </w:rPr>
      </w:pPr>
      <w:r>
        <w:rPr>
          <w:rFonts w:ascii="Arial" w:cs="Arial" w:eastAsia="Arial" w:hAnsi="Arial"/>
          <w:sz w:val="16"/>
          <w:szCs w:val="16"/>
          <w:color w:val="auto"/>
        </w:rPr>
        <w:t>You should read the following summary financial data together with our financial statements and the related notes appearing elsewhere in this prospectus and “Management’s Discussion and Analysis of Financial Condition and Results of Operations” sections of this prospectus. We have derived the statement of operations data for the years ended December 31, 2019 and 2020 from our audited financial statements appearing elsewhere in this prospectus. The statement of operations data for the six months ended June 30, 2020 and 2021 and the balance sheet data as of June 30, 2021 have been derived from our unaudited financial statements appearing elsewhere in this prospectus and have been prepared on the same basis as the audited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results that should be expected in any future period, and our results for any interim period are not necessarily indicative of results that should be expected for any full year. The summary financial data included in this section are not intended to replace the audited financial statements and the related notes included elsewhere in this prospectus and are qualified in their entirety by the financial statements and the related notes included elsewhere in this prospectus.</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 Ended</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397"/>
              <w:spacing w:after="0"/>
              <w:rPr>
                <w:sz w:val="20"/>
                <w:szCs w:val="20"/>
                <w:color w:val="auto"/>
              </w:rPr>
            </w:pPr>
            <w:r>
              <w:rPr>
                <w:rFonts w:ascii="Arial" w:cs="Arial" w:eastAsia="Arial" w:hAnsi="Arial"/>
                <w:sz w:val="13"/>
                <w:szCs w:val="13"/>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5"/>
          </w:tcPr>
          <w:p>
            <w:pPr>
              <w:jc w:val="center"/>
              <w:ind w:right="14"/>
              <w:spacing w:after="0" w:line="129" w:lineRule="exact"/>
              <w:rPr>
                <w:sz w:val="20"/>
                <w:szCs w:val="20"/>
                <w:color w:val="auto"/>
              </w:rPr>
            </w:pPr>
            <w:r>
              <w:rPr>
                <w:rFonts w:ascii="Arial" w:cs="Arial" w:eastAsia="Arial" w:hAnsi="Arial"/>
                <w:sz w:val="13"/>
                <w:szCs w:val="13"/>
                <w:b w:val="1"/>
                <w:bCs w:val="1"/>
                <w:color w:val="auto"/>
                <w:w w:val="96"/>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12"/>
          </w:tcPr>
          <w:p>
            <w:pPr>
              <w:jc w:val="right"/>
              <w:ind w:righ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1"/>
              </w:rPr>
              <w:t>Research and development (including related party amounts of $87, $152, $57 and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452, 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gridSpan w:val="2"/>
          </w:tcPr>
          <w:p>
            <w:pPr>
              <w:ind w:left="400"/>
              <w:spacing w:after="0"/>
              <w:rPr>
                <w:sz w:val="20"/>
                <w:szCs w:val="20"/>
                <w:color w:val="auto"/>
              </w:rPr>
            </w:pPr>
            <w:r>
              <w:rPr>
                <w:rFonts w:ascii="Arial" w:cs="Arial" w:eastAsia="Arial" w:hAnsi="Arial"/>
                <w:sz w:val="18"/>
                <w:szCs w:val="18"/>
                <w:color w:val="auto"/>
                <w:w w:val="92"/>
              </w:rPr>
              <w:t>General and administrative (including related party amounts of $22, $0, $0 and $0,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500" w:type="dxa"/>
            <w:vAlign w:val="bottom"/>
            <w:gridSpan w:val="2"/>
          </w:tcPr>
          <w:p>
            <w:pPr>
              <w:ind w:left="6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(1,354)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(11,820)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0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gridSpan w:val="2"/>
            <w:vMerge w:val="restart"/>
          </w:tcPr>
          <w:p>
            <w:pPr>
              <w:ind w:left="4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(1,889)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gridSpan w:val="2"/>
            <w:vMerge w:val="restart"/>
          </w:tcPr>
          <w:p>
            <w:pPr>
              <w:ind w:left="400"/>
              <w:spacing w:after="0"/>
              <w:rPr>
                <w:sz w:val="20"/>
                <w:szCs w:val="20"/>
                <w:color w:val="auto"/>
              </w:rPr>
            </w:pPr>
            <w:r>
              <w:rPr>
                <w:rFonts w:ascii="Arial" w:cs="Arial" w:eastAsia="Arial" w:hAnsi="Arial"/>
                <w:sz w:val="18"/>
                <w:szCs w:val="18"/>
                <w:color w:val="auto"/>
              </w:rPr>
              <w:t>Deemed dividend on Class A and B stock conversion</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(2,188)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(4,077)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(12,025)</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3"/>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(4.61)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Weighted average shares used to compute net loss per share, basic and diluted(1)</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839,992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885,311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881,560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910,160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rPr>
              <w:t>Pro forma net loss per share, basic and diluted (unaudited)(2)</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 forma weighted average shares of common stock, basic and diluted (unaudited)(2)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620" w:hanging="426"/>
        <w:spacing w:after="0"/>
        <w:tabs>
          <w:tab w:leader="none" w:pos="6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Note 2 to our financial statements appearing elsewhere in this prospectus for details on the calculation of basic and diluted net loss per share.</w:t>
      </w:r>
    </w:p>
    <w:p>
      <w:pPr>
        <w:spacing w:after="0" w:line="11" w:lineRule="exact"/>
        <w:rPr>
          <w:rFonts w:ascii="Arial" w:cs="Arial" w:eastAsia="Arial" w:hAnsi="Arial"/>
          <w:sz w:val="13"/>
          <w:szCs w:val="13"/>
          <w:color w:val="auto"/>
        </w:rPr>
      </w:pPr>
    </w:p>
    <w:p>
      <w:pPr>
        <w:ind w:left="620" w:right="20" w:hanging="426"/>
        <w:spacing w:after="0" w:line="255" w:lineRule="auto"/>
        <w:tabs>
          <w:tab w:leader="none" w:pos="6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 forma basic and diluted net loss per share attributable to common stockholders have been prepared to give effect to the automatic conversion of all shares of preferred stock outstanding into shares of common stock as if the conversion had occurred on the later of the beginning of the period presented or the date the preferred shares were issued.</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630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36302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summary balance sheet data as of June 30, 2021:</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373"/>
              <w:spacing w:after="0"/>
              <w:rPr>
                <w:sz w:val="20"/>
                <w:szCs w:val="20"/>
                <w:color w:val="auto"/>
              </w:rPr>
            </w:pPr>
            <w:r>
              <w:rPr>
                <w:rFonts w:ascii="Arial" w:cs="Arial" w:eastAsia="Arial" w:hAnsi="Arial"/>
                <w:sz w:val="13"/>
                <w:szCs w:val="13"/>
                <w:b w:val="1"/>
                <w:bCs w:val="1"/>
                <w:color w:val="auto"/>
                <w:w w:val="92"/>
              </w:rPr>
              <w:t>As of June 30, 2021</w:t>
            </w: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960" w:type="dxa"/>
            <w:vAlign w:val="bottom"/>
          </w:tcPr>
          <w:p>
            <w:pPr>
              <w:jc w:val="center"/>
              <w:ind w:left="193"/>
              <w:spacing w:after="0" w:line="129" w:lineRule="exact"/>
              <w:rPr>
                <w:sz w:val="20"/>
                <w:szCs w:val="20"/>
                <w:color w:val="auto"/>
              </w:rPr>
            </w:pPr>
            <w:r>
              <w:rPr>
                <w:rFonts w:ascii="Arial" w:cs="Arial" w:eastAsia="Arial" w:hAnsi="Arial"/>
                <w:sz w:val="13"/>
                <w:szCs w:val="13"/>
                <w:b w:val="1"/>
                <w:bCs w:val="1"/>
                <w:color w:val="auto"/>
                <w:w w:val="95"/>
              </w:rPr>
              <w:t>Pro Forma</w:t>
            </w:r>
          </w:p>
        </w:tc>
        <w:tc>
          <w:tcPr>
            <w:tcW w:w="40" w:type="dxa"/>
            <w:vAlign w:val="bottom"/>
          </w:tcPr>
          <w:p>
            <w:pPr>
              <w:spacing w:after="0"/>
              <w:rPr>
                <w:sz w:val="11"/>
                <w:szCs w:val="11"/>
                <w:color w:val="auto"/>
              </w:rPr>
            </w:pPr>
          </w:p>
        </w:tc>
      </w:tr>
      <w:tr>
        <w:trPr>
          <w:trHeight w:val="148"/>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w w:val="82"/>
              </w:rPr>
              <w:t>as</w:t>
            </w:r>
          </w:p>
        </w:tc>
      </w:tr>
      <w:tr>
        <w:trPr>
          <w:trHeight w:val="148"/>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w w:val="95"/>
              </w:rPr>
              <w:t>Adjusted(2)</w:t>
            </w:r>
          </w:p>
        </w:tc>
      </w:tr>
      <w:tr>
        <w:trPr>
          <w:trHeight w:val="161"/>
        </w:trPr>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Actual</w:t>
            </w: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353"/>
              <w:spacing w:after="0"/>
              <w:rPr>
                <w:sz w:val="20"/>
                <w:szCs w:val="20"/>
                <w:color w:val="auto"/>
              </w:rPr>
            </w:pPr>
            <w:r>
              <w:rPr>
                <w:rFonts w:ascii="Arial" w:cs="Arial" w:eastAsia="Arial" w:hAnsi="Arial"/>
                <w:sz w:val="13"/>
                <w:szCs w:val="13"/>
                <w:b w:val="1"/>
                <w:bCs w:val="1"/>
                <w:color w:val="auto"/>
                <w:w w:val="96"/>
              </w:rPr>
              <w:t>Pro Forma(1)</w:t>
            </w:r>
          </w:p>
        </w:tc>
        <w:tc>
          <w:tcPr>
            <w:tcW w:w="9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(3)</w:t>
            </w:r>
          </w:p>
        </w:tc>
        <w:tc>
          <w:tcPr>
            <w:tcW w:w="40" w:type="dxa"/>
            <w:vAlign w:val="bottom"/>
          </w:tcPr>
          <w:p>
            <w:pPr>
              <w:spacing w:after="0"/>
              <w:rPr>
                <w:sz w:val="14"/>
                <w:szCs w:val="14"/>
                <w:color w:val="auto"/>
              </w:rPr>
            </w:pPr>
          </w:p>
        </w:tc>
      </w:tr>
      <w:tr>
        <w:trPr>
          <w:trHeight w:val="142"/>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160" w:type="dxa"/>
            <w:vAlign w:val="bottom"/>
            <w:gridSpan w:val="2"/>
          </w:tcPr>
          <w:p>
            <w:pPr>
              <w:jc w:val="center"/>
              <w:ind w:left="93"/>
              <w:spacing w:after="0" w:line="142" w:lineRule="exact"/>
              <w:rPr>
                <w:sz w:val="20"/>
                <w:szCs w:val="20"/>
                <w:color w:val="auto"/>
              </w:rPr>
            </w:pPr>
            <w:r>
              <w:rPr>
                <w:rFonts w:ascii="Arial" w:cs="Arial" w:eastAsia="Arial" w:hAnsi="Arial"/>
                <w:sz w:val="13"/>
                <w:szCs w:val="13"/>
                <w:b w:val="1"/>
                <w:bCs w:val="1"/>
                <w:color w:val="auto"/>
                <w:w w:val="93"/>
              </w:rPr>
              <w:t>(unaudited, in thousands)</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3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5"/>
              </w:rPr>
              <w:t>Cash</w:t>
            </w: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20" w:type="dxa"/>
            <w:vAlign w:val="bottom"/>
            <w:gridSpan w:val="2"/>
          </w:tcPr>
          <w:p>
            <w:pPr>
              <w:jc w:val="right"/>
              <w:ind w:right="73"/>
              <w:spacing w:after="0"/>
              <w:rPr>
                <w:sz w:val="20"/>
                <w:szCs w:val="20"/>
                <w:color w:val="auto"/>
              </w:rPr>
            </w:pPr>
            <w:r>
              <w:rPr>
                <w:rFonts w:ascii="Arial" w:cs="Arial" w:eastAsia="Arial" w:hAnsi="Arial"/>
                <w:sz w:val="18"/>
                <w:szCs w:val="18"/>
                <w:color w:val="auto"/>
              </w:rPr>
              <w:t>$ 16,326</w:t>
            </w: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capital(4)</w:t>
            </w:r>
          </w:p>
        </w:tc>
        <w:tc>
          <w:tcPr>
            <w:tcW w:w="23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13,687</w:t>
            </w:r>
          </w:p>
        </w:tc>
        <w:tc>
          <w:tcPr>
            <w:tcW w:w="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340" w:type="dxa"/>
            <w:vAlign w:val="bottom"/>
          </w:tcPr>
          <w:p>
            <w:pPr>
              <w:spacing w:after="0"/>
              <w:rPr>
                <w:sz w:val="18"/>
                <w:szCs w:val="18"/>
                <w:color w:val="auto"/>
              </w:rPr>
            </w:pPr>
          </w:p>
        </w:tc>
        <w:tc>
          <w:tcPr>
            <w:tcW w:w="3020" w:type="dxa"/>
            <w:vAlign w:val="bottom"/>
            <w:gridSpan w:val="2"/>
          </w:tcPr>
          <w:p>
            <w:pPr>
              <w:jc w:val="right"/>
              <w:ind w:right="73"/>
              <w:spacing w:after="0"/>
              <w:rPr>
                <w:sz w:val="20"/>
                <w:szCs w:val="20"/>
                <w:color w:val="auto"/>
              </w:rPr>
            </w:pPr>
            <w:r>
              <w:rPr>
                <w:rFonts w:ascii="Arial" w:cs="Arial" w:eastAsia="Arial" w:hAnsi="Arial"/>
                <w:sz w:val="18"/>
                <w:szCs w:val="18"/>
                <w:color w:val="auto"/>
              </w:rPr>
              <w:t>19,731</w:t>
            </w: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3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5,240</w:t>
            </w:r>
          </w:p>
        </w:tc>
        <w:tc>
          <w:tcPr>
            <w:tcW w:w="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w w:val="94"/>
              </w:rPr>
              <w:t>Preferred stock warrant liability</w:t>
            </w:r>
          </w:p>
        </w:tc>
        <w:tc>
          <w:tcPr>
            <w:tcW w:w="2340" w:type="dxa"/>
            <w:vAlign w:val="bottom"/>
          </w:tcPr>
          <w:p>
            <w:pPr>
              <w:spacing w:after="0"/>
              <w:rPr>
                <w:sz w:val="18"/>
                <w:szCs w:val="18"/>
                <w:color w:val="auto"/>
              </w:rPr>
            </w:pPr>
          </w:p>
        </w:tc>
        <w:tc>
          <w:tcPr>
            <w:tcW w:w="3020" w:type="dxa"/>
            <w:vAlign w:val="bottom"/>
            <w:gridSpan w:val="2"/>
          </w:tcPr>
          <w:p>
            <w:pPr>
              <w:jc w:val="right"/>
              <w:ind w:right="73"/>
              <w:spacing w:after="0"/>
              <w:rPr>
                <w:sz w:val="20"/>
                <w:szCs w:val="20"/>
                <w:color w:val="auto"/>
              </w:rPr>
            </w:pPr>
            <w:r>
              <w:rPr>
                <w:rFonts w:ascii="Arial" w:cs="Arial" w:eastAsia="Arial" w:hAnsi="Arial"/>
                <w:sz w:val="18"/>
                <w:szCs w:val="18"/>
                <w:color w:val="auto"/>
              </w:rPr>
              <w:t>223</w:t>
            </w: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34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32,113</w:t>
            </w:r>
          </w:p>
        </w:tc>
        <w:tc>
          <w:tcPr>
            <w:tcW w:w="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40" w:type="dxa"/>
            <w:vAlign w:val="bottom"/>
            <w:gridSpan w:val="3"/>
          </w:tcPr>
          <w:p>
            <w:pPr>
              <w:spacing w:after="0"/>
              <w:rPr>
                <w:sz w:val="20"/>
                <w:szCs w:val="20"/>
                <w:color w:val="auto"/>
              </w:rPr>
            </w:pPr>
            <w:r>
              <w:rPr>
                <w:rFonts w:ascii="Arial" w:cs="Arial" w:eastAsia="Arial" w:hAnsi="Arial"/>
                <w:sz w:val="18"/>
                <w:szCs w:val="18"/>
                <w:color w:val="auto"/>
              </w:rPr>
              <w:t>Total accumulated deficit</w:t>
            </w:r>
          </w:p>
        </w:tc>
        <w:tc>
          <w:tcPr>
            <w:tcW w:w="2340" w:type="dxa"/>
            <w:vAlign w:val="bottom"/>
          </w:tcPr>
          <w:p>
            <w:pPr>
              <w:spacing w:after="0"/>
              <w:rPr>
                <w:sz w:val="18"/>
                <w:szCs w:val="18"/>
                <w:color w:val="auto"/>
              </w:rPr>
            </w:pPr>
          </w:p>
        </w:tc>
        <w:tc>
          <w:tcPr>
            <w:tcW w:w="3020" w:type="dxa"/>
            <w:vAlign w:val="bottom"/>
            <w:gridSpan w:val="2"/>
          </w:tcPr>
          <w:p>
            <w:pPr>
              <w:jc w:val="right"/>
              <w:ind w:right="13"/>
              <w:spacing w:after="0"/>
              <w:rPr>
                <w:sz w:val="20"/>
                <w:szCs w:val="20"/>
                <w:color w:val="auto"/>
              </w:rPr>
            </w:pPr>
            <w:r>
              <w:rPr>
                <w:rFonts w:ascii="Arial" w:cs="Arial" w:eastAsia="Arial" w:hAnsi="Arial"/>
                <w:sz w:val="18"/>
                <w:szCs w:val="18"/>
                <w:color w:val="auto"/>
              </w:rPr>
              <w:t>(18,496)</w:t>
            </w:r>
          </w:p>
        </w:tc>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302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(17,845)</w:t>
            </w:r>
          </w:p>
        </w:tc>
        <w:tc>
          <w:tcPr>
            <w:tcW w:w="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120" w:type="dxa"/>
            <w:vAlign w:val="bottom"/>
            <w:gridSpan w:val="5"/>
          </w:tcPr>
          <w:p>
            <w:pPr>
              <w:spacing w:after="0"/>
              <w:rPr>
                <w:sz w:val="9"/>
                <w:szCs w:val="9"/>
                <w:color w:val="auto"/>
              </w:rPr>
            </w:pPr>
          </w:p>
        </w:tc>
        <w:tc>
          <w:tcPr>
            <w:tcW w:w="2560" w:type="dxa"/>
            <w:vAlign w:val="bottom"/>
            <w:gridSpan w:val="3"/>
          </w:tcPr>
          <w:p>
            <w:pPr>
              <w:spacing w:after="0"/>
              <w:rPr>
                <w:sz w:val="9"/>
                <w:szCs w:val="9"/>
                <w:color w:val="auto"/>
              </w:rPr>
            </w:pPr>
          </w:p>
        </w:tc>
      </w:tr>
      <w:tr>
        <w:trPr>
          <w:trHeight w:val="158"/>
        </w:trPr>
        <w:tc>
          <w:tcPr>
            <w:tcW w:w="380" w:type="dxa"/>
            <w:vAlign w:val="bottom"/>
          </w:tcPr>
          <w:p>
            <w:pPr>
              <w:spacing w:after="0"/>
              <w:rPr>
                <w:sz w:val="20"/>
                <w:szCs w:val="20"/>
                <w:color w:val="auto"/>
              </w:rPr>
            </w:pPr>
            <w:r>
              <w:rPr>
                <w:rFonts w:ascii="Arial" w:cs="Arial" w:eastAsia="Arial" w:hAnsi="Arial"/>
                <w:sz w:val="13"/>
                <w:szCs w:val="13"/>
                <w:color w:val="auto"/>
              </w:rPr>
              <w:t>(1)</w:t>
            </w:r>
          </w:p>
        </w:tc>
        <w:tc>
          <w:tcPr>
            <w:tcW w:w="7920" w:type="dxa"/>
            <w:vAlign w:val="bottom"/>
            <w:gridSpan w:val="6"/>
          </w:tcPr>
          <w:p>
            <w:pPr>
              <w:ind w:left="40"/>
              <w:spacing w:after="0"/>
              <w:rPr>
                <w:sz w:val="20"/>
                <w:szCs w:val="20"/>
                <w:color w:val="auto"/>
              </w:rPr>
            </w:pPr>
            <w:r>
              <w:rPr>
                <w:rFonts w:ascii="Arial" w:cs="Arial" w:eastAsia="Arial" w:hAnsi="Arial"/>
                <w:sz w:val="13"/>
                <w:szCs w:val="13"/>
                <w:color w:val="auto"/>
                <w:w w:val="94"/>
              </w:rPr>
              <w:t>On a pro forma basis to give effect to (i) the automatic conversion of all outstanding shares of our convertible preferred stock into an aggregate of</w:t>
            </w:r>
          </w:p>
        </w:tc>
        <w:tc>
          <w:tcPr>
            <w:tcW w:w="2560" w:type="dxa"/>
            <w:vAlign w:val="bottom"/>
            <w:gridSpan w:val="3"/>
          </w:tcPr>
          <w:p>
            <w:pPr>
              <w:ind w:left="440"/>
              <w:spacing w:after="0"/>
              <w:rPr>
                <w:sz w:val="20"/>
                <w:szCs w:val="20"/>
                <w:color w:val="auto"/>
              </w:rPr>
            </w:pPr>
            <w:r>
              <w:rPr>
                <w:rFonts w:ascii="Arial" w:cs="Arial" w:eastAsia="Arial" w:hAnsi="Arial"/>
                <w:sz w:val="13"/>
                <w:szCs w:val="13"/>
                <w:color w:val="auto"/>
                <w:w w:val="94"/>
              </w:rPr>
              <w:t>shares of our common stock as if such</w:t>
            </w:r>
          </w:p>
        </w:tc>
      </w:tr>
      <w:tr>
        <w:trPr>
          <w:trHeight w:val="148"/>
        </w:trPr>
        <w:tc>
          <w:tcPr>
            <w:tcW w:w="380" w:type="dxa"/>
            <w:vAlign w:val="bottom"/>
          </w:tcPr>
          <w:p>
            <w:pPr>
              <w:spacing w:after="0"/>
              <w:rPr>
                <w:sz w:val="12"/>
                <w:szCs w:val="12"/>
                <w:color w:val="auto"/>
              </w:rPr>
            </w:pPr>
          </w:p>
        </w:tc>
        <w:tc>
          <w:tcPr>
            <w:tcW w:w="10480" w:type="dxa"/>
            <w:vAlign w:val="bottom"/>
            <w:gridSpan w:val="9"/>
          </w:tcPr>
          <w:p>
            <w:pPr>
              <w:ind w:left="40"/>
              <w:spacing w:after="0"/>
              <w:rPr>
                <w:sz w:val="20"/>
                <w:szCs w:val="20"/>
                <w:color w:val="auto"/>
              </w:rPr>
            </w:pPr>
            <w:r>
              <w:rPr>
                <w:rFonts w:ascii="Arial" w:cs="Arial" w:eastAsia="Arial" w:hAnsi="Arial"/>
                <w:sz w:val="13"/>
                <w:szCs w:val="13"/>
                <w:color w:val="auto"/>
                <w:w w:val="97"/>
              </w:rPr>
              <w:t>conversion had occurred as of June 30, 2021, and (ii) the filing and effectiveness of our amended and restated certificate of incorporation in connection with the completion of this offering.</w:t>
            </w:r>
          </w:p>
        </w:tc>
      </w:tr>
      <w:tr>
        <w:trPr>
          <w:trHeight w:val="148"/>
        </w:trPr>
        <w:tc>
          <w:tcPr>
            <w:tcW w:w="380" w:type="dxa"/>
            <w:vAlign w:val="bottom"/>
          </w:tcPr>
          <w:p>
            <w:pPr>
              <w:spacing w:after="0"/>
              <w:rPr>
                <w:sz w:val="20"/>
                <w:szCs w:val="20"/>
                <w:color w:val="auto"/>
              </w:rPr>
            </w:pPr>
            <w:r>
              <w:rPr>
                <w:rFonts w:ascii="Arial" w:cs="Arial" w:eastAsia="Arial" w:hAnsi="Arial"/>
                <w:sz w:val="13"/>
                <w:szCs w:val="13"/>
                <w:color w:val="auto"/>
              </w:rPr>
              <w:t>(2)</w:t>
            </w:r>
          </w:p>
        </w:tc>
        <w:tc>
          <w:tcPr>
            <w:tcW w:w="7320" w:type="dxa"/>
            <w:vAlign w:val="bottom"/>
            <w:gridSpan w:val="5"/>
          </w:tcPr>
          <w:p>
            <w:pPr>
              <w:ind w:left="40"/>
              <w:spacing w:after="0"/>
              <w:rPr>
                <w:sz w:val="20"/>
                <w:szCs w:val="20"/>
                <w:color w:val="auto"/>
              </w:rPr>
            </w:pPr>
            <w:r>
              <w:rPr>
                <w:rFonts w:ascii="Arial" w:cs="Arial" w:eastAsia="Arial" w:hAnsi="Arial"/>
                <w:sz w:val="13"/>
                <w:szCs w:val="13"/>
                <w:color w:val="auto"/>
                <w:w w:val="98"/>
              </w:rPr>
              <w:t>On a pro forma as adjusted basis to give effect to (i) the pro forma adjustments described above and (ii) our issuance and sale of</w:t>
            </w:r>
          </w:p>
        </w:tc>
        <w:tc>
          <w:tcPr>
            <w:tcW w:w="3160" w:type="dxa"/>
            <w:vAlign w:val="bottom"/>
            <w:gridSpan w:val="4"/>
          </w:tcPr>
          <w:p>
            <w:pPr>
              <w:ind w:left="80"/>
              <w:spacing w:after="0"/>
              <w:rPr>
                <w:sz w:val="20"/>
                <w:szCs w:val="20"/>
                <w:color w:val="auto"/>
              </w:rPr>
            </w:pPr>
            <w:r>
              <w:rPr>
                <w:rFonts w:ascii="Arial" w:cs="Arial" w:eastAsia="Arial" w:hAnsi="Arial"/>
                <w:sz w:val="13"/>
                <w:szCs w:val="13"/>
                <w:color w:val="auto"/>
                <w:w w:val="97"/>
              </w:rPr>
              <w:t>shares of common stock in this offering at an assumed</w:t>
            </w:r>
          </w:p>
        </w:tc>
      </w:tr>
      <w:tr>
        <w:trPr>
          <w:trHeight w:val="160"/>
        </w:trPr>
        <w:tc>
          <w:tcPr>
            <w:tcW w:w="380" w:type="dxa"/>
            <w:vAlign w:val="bottom"/>
          </w:tcPr>
          <w:p>
            <w:pPr>
              <w:spacing w:after="0"/>
              <w:rPr>
                <w:sz w:val="13"/>
                <w:szCs w:val="13"/>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initial public offering price of $</w:t>
            </w:r>
          </w:p>
        </w:tc>
        <w:tc>
          <w:tcPr>
            <w:tcW w:w="8520" w:type="dxa"/>
            <w:vAlign w:val="bottom"/>
            <w:gridSpan w:val="7"/>
          </w:tcPr>
          <w:p>
            <w:pPr>
              <w:ind w:left="100"/>
              <w:spacing w:after="0"/>
              <w:rPr>
                <w:sz w:val="20"/>
                <w:szCs w:val="20"/>
                <w:color w:val="auto"/>
              </w:rPr>
            </w:pPr>
            <w:r>
              <w:rPr>
                <w:rFonts w:ascii="Arial" w:cs="Arial" w:eastAsia="Arial" w:hAnsi="Arial"/>
                <w:sz w:val="13"/>
                <w:szCs w:val="13"/>
                <w:color w:val="auto"/>
                <w:w w:val="97"/>
              </w:rPr>
              <w:t>per share, which is the midpoint of the price range set forth on the cover page of this prospectus, after deducting estimated underwriting discounts and</w:t>
            </w:r>
          </w:p>
        </w:tc>
      </w:tr>
    </w:tbl>
    <w:p>
      <w:pPr>
        <w:ind w:left="620"/>
        <w:spacing w:after="0"/>
        <w:rPr>
          <w:sz w:val="20"/>
          <w:szCs w:val="20"/>
          <w:color w:val="auto"/>
        </w:rPr>
      </w:pPr>
      <w:r>
        <w:rPr>
          <w:rFonts w:ascii="Arial" w:cs="Arial" w:eastAsia="Arial" w:hAnsi="Arial"/>
          <w:sz w:val="13"/>
          <w:szCs w:val="13"/>
          <w:color w:val="auto"/>
        </w:rPr>
        <w:t>commissions and estimated offering expenses payable by us.</w:t>
      </w:r>
    </w:p>
    <w:p>
      <w:pPr>
        <w:ind w:left="620" w:hanging="426"/>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 $1.00 increase (decrease) in the assumed initial public offering price of $</w:t>
      </w:r>
      <w:r>
        <w:rPr>
          <w:rFonts w:ascii="Arial" w:cs="Arial" w:eastAsia="Arial" w:hAnsi="Arial"/>
          <w:sz w:val="12"/>
          <w:szCs w:val="12"/>
          <w:color w:val="auto"/>
        </w:rPr>
        <w:t>per share, which is the midpoint of the price range set forth on the cover page of this prospectus, would</w:t>
      </w:r>
    </w:p>
    <w:p>
      <w:pPr>
        <w:ind w:left="620" w:right="100"/>
        <w:spacing w:after="0" w:line="258" w:lineRule="auto"/>
        <w:rPr>
          <w:sz w:val="20"/>
          <w:szCs w:val="20"/>
          <w:color w:val="auto"/>
        </w:rPr>
      </w:pPr>
      <w:r>
        <w:rPr>
          <w:rFonts w:ascii="Arial" w:cs="Arial" w:eastAsia="Arial" w:hAnsi="Arial"/>
          <w:sz w:val="12"/>
          <w:szCs w:val="12"/>
          <w:color w:val="auto"/>
        </w:rPr>
        <w:t>increase (decrease) the pro forma as adjusted amount of each of cash, working capital, total assets and total stockholders’ (deficit) equity by $ million, assuming that the number of shares offered by us, as set forth on the cover page of this prospectus, remains the same and after deducting estimated underwriting discounts and commissions and estimated offering expenses payable by us. A 1.0 million share increase (decrease) in the number of shares offered by us, as set forth on the cover page of this prospectus, would increase (decrease) the pro forma as</w:t>
      </w:r>
    </w:p>
    <w:p>
      <w:pPr>
        <w:jc w:val="both"/>
        <w:ind w:left="620" w:right="60"/>
        <w:spacing w:after="0" w:line="238" w:lineRule="auto"/>
        <w:rPr>
          <w:sz w:val="20"/>
          <w:szCs w:val="20"/>
          <w:color w:val="auto"/>
        </w:rPr>
      </w:pPr>
      <w:r>
        <w:rPr>
          <w:rFonts w:ascii="Arial" w:cs="Arial" w:eastAsia="Arial" w:hAnsi="Arial"/>
          <w:sz w:val="13"/>
          <w:szCs w:val="13"/>
          <w:color w:val="auto"/>
        </w:rPr>
        <w:t>adjusted amount of each of cash, working capital, total assets and total stockholders’ (deficit) equity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 w:lineRule="exact"/>
        <w:rPr>
          <w:sz w:val="20"/>
          <w:szCs w:val="20"/>
          <w:color w:val="auto"/>
        </w:rPr>
      </w:pPr>
    </w:p>
    <w:p>
      <w:pPr>
        <w:ind w:left="620" w:right="380" w:hanging="426"/>
        <w:spacing w:after="0" w:line="255" w:lineRule="auto"/>
        <w:tabs>
          <w:tab w:leader="none" w:pos="6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8"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read and consider all of the risks described below, as well as the other information in this prospectus,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have no products approved for sale and we expect to incur losses for the foreseeable future.</w:t>
      </w:r>
    </w:p>
    <w:p>
      <w:pPr>
        <w:spacing w:after="0" w:line="20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Since inception, we have incurred significant operating losses. Our net losses were $1.3 million and $1.9 million for the years ended December 31, 2019 and 2020, respectively, and $12.0 million for the six months ended June 30, 2021. As of June 30, 2021, we had an accumulated deficit of $18.5 million. To date, we have financed our operations primarily with the proceeds raised from the sale of our convertible preferred stock. We have devoted substantially all of our financial resources and efforts to research and development activities, business planning, establishing and maintaining our intellectual property portfolio, acquiring and developing product and technology rights, hiring personnel, raising capital, and providing general and administrative support for these operations. We are still in the early stages of development of our programs, have not completed investigational new drug, or IND, enabling activities and have not commenced or completed clinical development for any of our programs. We expect to continue to incur significant expenses and operating losses for the foreseeable future. Our operating expenses and net losses may fluctuate significantly from quarter to quarter and year to year. We anticipate that our expenses will increase substantially if and as we:</w:t>
      </w:r>
    </w:p>
    <w:p>
      <w:pPr>
        <w:spacing w:after="0" w:line="159" w:lineRule="exact"/>
        <w:rPr>
          <w:sz w:val="20"/>
          <w:szCs w:val="20"/>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 pre-clinical activities for our programs in DMD and DM1 and advance them into and through clinical development;</w:t>
      </w:r>
    </w:p>
    <w:p>
      <w:pPr>
        <w:spacing w:after="0" w:line="211" w:lineRule="exact"/>
        <w:rPr>
          <w:rFonts w:ascii="Arial" w:cs="Arial" w:eastAsia="Arial" w:hAnsi="Arial"/>
          <w:sz w:val="18"/>
          <w:szCs w:val="18"/>
          <w:color w:val="auto"/>
        </w:rPr>
      </w:pPr>
    </w:p>
    <w:p>
      <w:pPr>
        <w:ind w:left="880" w:right="400" w:hanging="427"/>
        <w:spacing w:after="0" w:line="268"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any additional product candidates we identify through our research programs into IND- or clinical trial application, or CTA-enabling studies and clinical trials following regulatory clearance to commence clinical research;</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develop and expand the capabilities of our proprietary Enhanced Delivery Oligonucleotide, or EDO, platform;</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expand, maintain, defend and enforce our intellectual property portfolio;</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211" w:lineRule="exact"/>
        <w:rPr>
          <w:rFonts w:ascii="Arial" w:cs="Arial" w:eastAsia="Arial" w:hAnsi="Arial"/>
          <w:sz w:val="18"/>
          <w:szCs w:val="18"/>
          <w:color w:val="auto"/>
        </w:rPr>
      </w:pPr>
    </w:p>
    <w:p>
      <w:pPr>
        <w:ind w:left="880" w:right="320" w:hanging="427"/>
        <w:spacing w:after="0" w:line="268"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manufacturing sources for our product candidates and secure supply chain capacity to provide sufficient quantities for preclinical and clinical development and commercial supply;</w:t>
      </w:r>
    </w:p>
    <w:p>
      <w:pPr>
        <w:spacing w:after="0" w:line="172" w:lineRule="exact"/>
        <w:rPr>
          <w:rFonts w:ascii="Arial" w:cs="Arial" w:eastAsia="Arial" w:hAnsi="Arial"/>
          <w:sz w:val="18"/>
          <w:szCs w:val="18"/>
          <w:color w:val="auto"/>
        </w:rPr>
      </w:pPr>
    </w:p>
    <w:p>
      <w:pPr>
        <w:ind w:left="880" w:right="60" w:hanging="427"/>
        <w:spacing w:after="0" w:line="268"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280" w:hanging="427"/>
        <w:spacing w:after="0" w:line="268"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legal, compliance, financial and management information systems and personnel to support our research, product development and future commercialization efforts, as well as to support our operations as a public company.</w:t>
      </w:r>
    </w:p>
    <w:p>
      <w:pPr>
        <w:spacing w:after="0" w:line="132"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Even if we obtain regulatory approval of, and are successful in commercializing, one or more of our product candidates, we will continue to incur substantial research and development and other costs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171"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We have not completed IND- or CTA-enabling activities or initiated clinical development of any product candidate. We expect that it will be many years, if ever, before we have a product candidate ready for commercialization. To become and remain profitable, we must succeed in developing, obtaining the necessary regulatory approvals for and eventually commercializing a product or products that generate significant revenue. The ability to achieve this success will require us to be effective in a range of challenging activities, including:</w:t>
      </w:r>
    </w:p>
    <w:p>
      <w:pPr>
        <w:spacing w:after="0" w:line="183" w:lineRule="exact"/>
        <w:rPr>
          <w:sz w:val="20"/>
          <w:szCs w:val="20"/>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product candidates and completing preclinical development of our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regulatory authorization to commence clinical trials and initiating and successfully completing such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marketing approval for our product candidates;</w:t>
      </w:r>
    </w:p>
    <w:p>
      <w:pPr>
        <w:spacing w:after="0" w:line="211" w:lineRule="exact"/>
        <w:rPr>
          <w:rFonts w:ascii="Arial" w:cs="Arial" w:eastAsia="Arial" w:hAnsi="Arial"/>
          <w:sz w:val="18"/>
          <w:szCs w:val="18"/>
          <w:color w:val="auto"/>
        </w:rPr>
      </w:pPr>
    </w:p>
    <w:p>
      <w:pPr>
        <w:ind w:left="880" w:right="320" w:hanging="427"/>
        <w:spacing w:after="0" w:line="268"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(or securing third-party manufacturers to manufacture), marketing and selling any products for which we may obtain regulatory approval;</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market acceptance of any products for which we obtain regulatory approval as a viable treatment option;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satisfying any post-marketing requirements.</w:t>
      </w:r>
    </w:p>
    <w:p>
      <w:pPr>
        <w:spacing w:after="0" w:line="171"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We are only in the preliminary stages of most of these activities. We may never succeed in these activities and, even if we do, may never generate revenues that are significant enough to achieve profitability. We are currently only in the preclinical stage of our research programs. Because of the numerous risks and uncertainties associated with product development, we are unable to accurately estimate or know the nature, timing or costs of the efforts that will be necessary to complete the preclinical and clinical development and commercialization of our product candidates or when, or if, we will be able to generate revenues or achieve profitability.</w:t>
      </w:r>
    </w:p>
    <w:p>
      <w:pPr>
        <w:spacing w:after="0" w:line="14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If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1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impair our ability to raise capital, maintain our research and development efforts, expand our business or even continue our operations. A decline in the value of our company could also cause you to lose all or part of your investment.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80"/>
        <w:spacing w:after="0" w:line="331" w:lineRule="auto"/>
        <w:rPr>
          <w:sz w:val="20"/>
          <w:szCs w:val="20"/>
          <w:color w:val="auto"/>
        </w:rPr>
      </w:pPr>
      <w:r>
        <w:rPr>
          <w:rFonts w:ascii="Arial" w:cs="Arial" w:eastAsia="Arial" w:hAnsi="Arial"/>
          <w:sz w:val="16"/>
          <w:szCs w:val="16"/>
          <w:b w:val="1"/>
          <w:bCs w:val="1"/>
          <w:i w:val="1"/>
          <w:iCs w:val="1"/>
          <w:color w:val="auto"/>
        </w:rPr>
        <w:t>Even if we consummate this offering, we will need substantial additional funding. If we are unable to raise capital when needed, we could be forced to delay, scale back or discontinue our product development programs or future commercialization efforts.</w:t>
      </w:r>
    </w:p>
    <w:p>
      <w:pPr>
        <w:spacing w:after="0" w:line="87" w:lineRule="exact"/>
        <w:rPr>
          <w:sz w:val="20"/>
          <w:szCs w:val="20"/>
          <w:color w:val="auto"/>
        </w:rPr>
      </w:pPr>
    </w:p>
    <w:p>
      <w:pPr>
        <w:ind w:right="180" w:firstLine="449"/>
        <w:spacing w:after="0" w:line="290"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identify, continue the research and development of, continue preclinical testing and initiate clinical trials of, arrange for the manufacturing of, and potentially seek marketing approval for any product candidates that successfully completes clinical testing. In addition, if we obtain marketing approval for any product candidate,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on attractive terms or at all, we may be forced to delay, reduce or eliminate our research and development programs or future commercialization efforts.</w:t>
      </w:r>
    </w:p>
    <w:p>
      <w:pPr>
        <w:spacing w:after="0" w:line="118" w:lineRule="exact"/>
        <w:rPr>
          <w:sz w:val="20"/>
          <w:szCs w:val="20"/>
          <w:color w:val="auto"/>
        </w:rPr>
      </w:pPr>
    </w:p>
    <w:p>
      <w:pPr>
        <w:jc w:val="both"/>
        <w:ind w:right="40" w:firstLine="449"/>
        <w:spacing w:after="0" w:line="284" w:lineRule="auto"/>
        <w:rPr>
          <w:sz w:val="20"/>
          <w:szCs w:val="20"/>
          <w:color w:val="auto"/>
        </w:rPr>
      </w:pPr>
      <w:r>
        <w:rPr>
          <w:rFonts w:ascii="Arial" w:cs="Arial" w:eastAsia="Arial" w:hAnsi="Arial"/>
          <w:sz w:val="16"/>
          <w:szCs w:val="16"/>
          <w:color w:val="auto"/>
        </w:rPr>
        <w:t>As of June 30, 2021, we had cash of $16.3 million. In July 2021, we raised aggregate gross proceeds of $21.0 million from the final milestone closing of our Series A-2 convertible preferred stock and, additionally, in July 2021, we raised aggregate gross proceeds of $112.5 million from the private placement of our Series B convertible preferred stock. We believe that the net proceeds from this offering, together with our existing cash, will enable us to fund our</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and capital expenditure requirements into . However, we have based this estimate on assumptions that may prove to be wrong, and our operating plan may change as a result of many factors currently unknown to us. As a result, we could deplete our capital resources sooner than we currently expect and could be forced to seek additional funding sooner than planned.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costs and results of preclinical and clinical development for our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costs, timing and outcome of regulatory review of our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manufacturing activities;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identification of additional research programs and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scope of the continued development of our EDO platform;</w:t>
      </w:r>
    </w:p>
    <w:p>
      <w:pPr>
        <w:spacing w:after="0" w:line="211" w:lineRule="exact"/>
        <w:rPr>
          <w:rFonts w:ascii="Arial" w:cs="Arial" w:eastAsia="Arial" w:hAnsi="Arial"/>
          <w:sz w:val="18"/>
          <w:szCs w:val="18"/>
          <w:color w:val="auto"/>
        </w:rPr>
      </w:pPr>
    </w:p>
    <w:p>
      <w:pPr>
        <w:ind w:left="880" w:right="20" w:hanging="427"/>
        <w:spacing w:after="0" w:line="259"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applications for patents, maintaining and enforcing our intellectual property rights and defending any intellectual property-related claims, including claims of infringement, misappropriation or other violations of third-party intellectual property;</w:t>
      </w:r>
    </w:p>
    <w:p>
      <w:pPr>
        <w:spacing w:after="0" w:line="180" w:lineRule="exact"/>
        <w:rPr>
          <w:rFonts w:ascii="Arial" w:cs="Arial" w:eastAsia="Arial" w:hAnsi="Arial"/>
          <w:sz w:val="18"/>
          <w:szCs w:val="18"/>
          <w:color w:val="auto"/>
        </w:rPr>
      </w:pPr>
    </w:p>
    <w:p>
      <w:pPr>
        <w:ind w:left="880" w:right="300" w:hanging="427"/>
        <w:spacing w:after="0" w:line="26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 that receives marketing approval;</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satisfying any post-marketing requirements;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if marketing approval is received;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operational, financial and management information systems and associated personnel;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associated costs in connection with any acquisition of in-licensed products, intellectual property and technologies;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may not be sufficient to sustain our operations. Accordingly, we will need to continue to rely on additional financing to achieve our business objectives. Adequate additional financing may not be available to us on acceptable terms, or at all.</w:t>
      </w:r>
    </w:p>
    <w:p>
      <w:pPr>
        <w:spacing w:after="0" w:line="11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operations. We cannot be certain that additional funding will be available on acceptable terms, when needed or at all. We have no committed source of additional capital and, if we are unable to raise additional capital in sufficient amounts, when needed or on terms acceptable to us,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94"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commenced operations in 2018, have no products approved for commercial sale and have not generated any revenue from product sales. To date, our operations have been limited to organizing and staffing our company, business planning, executing collaborations, raising capital, licensing, conducting research activities, conducting preclinical studies of our programs, filing and prosecuting patent applications and providing general and administrative support for these operations. All of our research programs are still in the research or preclinical stage of development, and their risk of failure is high. We have not yet demonstrated our ability to initiate or complete any clinical trials, obtain marketing approvals, manufacture product for clinical trials or on a commercial scale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24" w:lineRule="exact"/>
        <w:rPr>
          <w:sz w:val="20"/>
          <w:szCs w:val="20"/>
          <w:color w:val="auto"/>
        </w:rPr>
      </w:pPr>
    </w:p>
    <w:p>
      <w:pPr>
        <w:jc w:val="both"/>
        <w:ind w:right="20" w:firstLine="449"/>
        <w:spacing w:after="0" w:line="306" w:lineRule="auto"/>
        <w:rPr>
          <w:sz w:val="20"/>
          <w:szCs w:val="20"/>
          <w:color w:val="auto"/>
        </w:rPr>
      </w:pPr>
      <w:r>
        <w:rPr>
          <w:rFonts w:ascii="Arial" w:cs="Arial" w:eastAsia="Arial" w:hAnsi="Arial"/>
          <w:sz w:val="16"/>
          <w:szCs w:val="16"/>
          <w:color w:val="auto"/>
        </w:rPr>
        <w:t>Our limited operating history may make it difficult to evaluate our technology and industry and predict our future performance. Our limited history as an operating company makes any assessment of our future success or viability subject to significant uncertainty. We will encounter risks and difficulties frequently experienced by early-stage companies in rapidly evolving fields. If we do not address these risks successfully, our business will suffer.</w:t>
      </w:r>
    </w:p>
    <w:p>
      <w:pPr>
        <w:spacing w:after="0" w:line="106"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In addition, as our business grows, we may encounter unforeseen expenses, restrictions, difficulties, complications, delays and other known and unknown factors. We will need to transition at some point from a company with a research focus to a company capable of conducting development activities and then to a company supporting commercial activities. We may not be successful in such transitions. If we do not adequately address these risks and difficulties or successfully make such a transition, it could have a material adverse impact on our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Preclinical and Clinical Testing</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We are very early in our development efforts. We have not completed IND- or CTA-enabling activities, and have not advanced any product candidates into clinical development, and as a result it will be years before we commercialize a product candidate, if ever. If we are unable to advance our product candidates through preclinical studies and clinical trials, obtain marketing approval and ultimately commercialize them, or experience significant delays in doing so, our business will be materially harmed.</w:t>
      </w:r>
    </w:p>
    <w:p>
      <w:pPr>
        <w:spacing w:after="0" w:line="143"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We are very early in our development efforts and have invested our research efforts to date in developing our EDO platform. We have a portfolio of research programs and are in the early stages of developing three product candidates—PGN-EDO51, PGN-EDODM1 and PGN-EDO53. We have not yet completed IND- or CTA-enabling activities, and we may never advance any of our product candidates to clinical-stage development. Our ability to generate product revenue, which we do not expect will occur for many years, if ever, will depend heavily on the successful clinical development and eventual commercialization of our product candidates, which may never occur. We currently generate no revenue from sales of any product, and we may never be able to develop or commercialize a marketable product.</w:t>
      </w:r>
    </w:p>
    <w:p>
      <w:pPr>
        <w:spacing w:after="0" w:line="120"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Commencing clinical trials in the United States is subject to authorization by the U.S. Food and Drug Administration, or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CTAs in other countries, including countries in the European Union.</w:t>
      </w:r>
    </w:p>
    <w:p>
      <w:pPr>
        <w:spacing w:after="0" w:line="11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Commercialization of our product candidates will require preclinical and clinical development; regulatory approval; manufacturing supply, capacity and expertise; a commercial organization; and significant marketing efforts. The success of our product candidates will depend on many factors, including the following:</w:t>
      </w:r>
    </w:p>
    <w:p>
      <w:pPr>
        <w:spacing w:after="0" w:line="180" w:lineRule="exact"/>
        <w:rPr>
          <w:sz w:val="20"/>
          <w:szCs w:val="20"/>
          <w:color w:val="auto"/>
        </w:rPr>
      </w:pPr>
    </w:p>
    <w:p>
      <w:pPr>
        <w:ind w:left="880" w:hanging="427"/>
        <w:spacing w:after="0" w:line="26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w:t>
      </w:r>
    </w:p>
    <w:p>
      <w:pPr>
        <w:spacing w:after="0" w:line="172" w:lineRule="exact"/>
        <w:rPr>
          <w:rFonts w:ascii="Arial" w:cs="Arial" w:eastAsia="Arial" w:hAnsi="Arial"/>
          <w:sz w:val="18"/>
          <w:szCs w:val="18"/>
          <w:color w:val="auto"/>
        </w:rPr>
      </w:pPr>
    </w:p>
    <w:p>
      <w:pPr>
        <w:ind w:left="880" w:right="180" w:hanging="427"/>
        <w:spacing w:after="0" w:line="26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authorization to initiate clinical trials under INDs, CTAs or comparable foreign applications that allow commencement of our planned clinical trials or future clinical trials for our product candidates;</w:t>
      </w:r>
    </w:p>
    <w:p>
      <w:pPr>
        <w:spacing w:after="0" w:line="172" w:lineRule="exact"/>
        <w:rPr>
          <w:rFonts w:ascii="Arial" w:cs="Arial" w:eastAsia="Arial" w:hAnsi="Arial"/>
          <w:sz w:val="18"/>
          <w:szCs w:val="18"/>
          <w:color w:val="auto"/>
        </w:rPr>
      </w:pPr>
    </w:p>
    <w:p>
      <w:pPr>
        <w:ind w:left="880" w:right="240" w:hanging="427"/>
        <w:spacing w:after="0" w:line="26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initiation enrollment and completion of clinical trials, including under the FDA’s Good Clinical Practices, or GCPs, Good Laboratory Practices, or GLPs, and any additional regulatory requirements from foreign regulatory authorities;</w:t>
      </w:r>
    </w:p>
    <w:p>
      <w:pPr>
        <w:spacing w:after="0" w:line="172" w:lineRule="exact"/>
        <w:rPr>
          <w:rFonts w:ascii="Arial" w:cs="Arial" w:eastAsia="Arial" w:hAnsi="Arial"/>
          <w:sz w:val="18"/>
          <w:szCs w:val="18"/>
          <w:color w:val="auto"/>
        </w:rPr>
      </w:pPr>
    </w:p>
    <w:p>
      <w:pPr>
        <w:ind w:left="880" w:right="480" w:hanging="427"/>
        <w:spacing w:after="0" w:line="26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positive results from our clinical trials that support a finding of safety and effectiveness and an acceptable risk-benefit profile in the intended populations to the satisfaction of the applicable regulatory authorities;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receipt of marketing approvals from applicable regulatory authorities, including the completion of any required post-marketing studies or trials;</w:t>
      </w:r>
    </w:p>
    <w:p>
      <w:pPr>
        <w:spacing w:after="0" w:line="234" w:lineRule="exact"/>
        <w:rPr>
          <w:rFonts w:ascii="Arial" w:cs="Arial" w:eastAsia="Arial" w:hAnsi="Arial"/>
          <w:sz w:val="16"/>
          <w:szCs w:val="16"/>
          <w:color w:val="auto"/>
        </w:rPr>
      </w:pPr>
    </w:p>
    <w:p>
      <w:pPr>
        <w:ind w:left="880" w:right="140" w:hanging="427"/>
        <w:spacing w:after="0" w:line="26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arrangements through our own facilities or with third-party manufacturers for clinical supply and, where applicable, commercial manufacturing capabilities;</w:t>
      </w:r>
    </w:p>
    <w:p>
      <w:pPr>
        <w:spacing w:after="0" w:line="172" w:lineRule="exact"/>
        <w:rPr>
          <w:rFonts w:ascii="Arial" w:cs="Arial" w:eastAsia="Arial" w:hAnsi="Arial"/>
          <w:sz w:val="18"/>
          <w:szCs w:val="18"/>
          <w:color w:val="auto"/>
        </w:rPr>
      </w:pPr>
    </w:p>
    <w:p>
      <w:pPr>
        <w:ind w:left="880" w:right="340" w:hanging="427"/>
        <w:spacing w:after="0" w:line="268"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maintenance, defense and enforcement of patent, trademark, trade secret and other intellectual property protection or regulatory exclusivity for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launch of our product candidates, if approved, whether alone or in collaboration with others;</w:t>
      </w:r>
    </w:p>
    <w:p>
      <w:pPr>
        <w:spacing w:after="0" w:line="211" w:lineRule="exact"/>
        <w:rPr>
          <w:rFonts w:ascii="Arial" w:cs="Arial" w:eastAsia="Arial" w:hAnsi="Arial"/>
          <w:sz w:val="18"/>
          <w:szCs w:val="18"/>
          <w:color w:val="auto"/>
        </w:rPr>
      </w:pPr>
    </w:p>
    <w:p>
      <w:pPr>
        <w:ind w:left="880" w:right="140" w:hanging="427"/>
        <w:spacing w:after="0" w:line="268"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benefits and use of our product candidates, including method of administration, if and when approved, by patients, the medical community and third-party payors;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211" w:lineRule="exact"/>
        <w:rPr>
          <w:rFonts w:ascii="Arial" w:cs="Arial" w:eastAsia="Arial" w:hAnsi="Arial"/>
          <w:sz w:val="18"/>
          <w:szCs w:val="18"/>
          <w:color w:val="auto"/>
        </w:rPr>
      </w:pPr>
    </w:p>
    <w:p>
      <w:pPr>
        <w:ind w:left="880" w:right="120" w:hanging="427"/>
        <w:spacing w:after="0" w:line="331"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maintenance of a continued acceptable safety, tolerability and efficacy profile of our product candidates following marketing approval, including acceptable results from any post-approval studies or clinical trials agreed to by us or required by FDA or other regulatory authorities; and</w:t>
      </w:r>
    </w:p>
    <w:p>
      <w:pPr>
        <w:spacing w:after="0" w:line="127" w:lineRule="exact"/>
        <w:rPr>
          <w:rFonts w:ascii="Arial" w:cs="Arial" w:eastAsia="Arial" w:hAnsi="Arial"/>
          <w:sz w:val="16"/>
          <w:szCs w:val="16"/>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 by payors.</w:t>
      </w:r>
    </w:p>
    <w:p>
      <w:pPr>
        <w:spacing w:after="0" w:line="171"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Many of these factors are beyond our control and if we do not succeed in one or more of these factors in a timely manner or at all, we could experience significant delays or an inability to successfully commercialize any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43" w:lineRule="exact"/>
        <w:rPr>
          <w:sz w:val="20"/>
          <w:szCs w:val="20"/>
          <w:color w:val="auto"/>
        </w:rPr>
      </w:pPr>
    </w:p>
    <w:p>
      <w:pPr>
        <w:jc w:val="both"/>
        <w:ind w:right="420"/>
        <w:spacing w:after="0" w:line="335" w:lineRule="auto"/>
        <w:rPr>
          <w:sz w:val="20"/>
          <w:szCs w:val="20"/>
          <w:color w:val="auto"/>
        </w:rPr>
      </w:pPr>
      <w:r>
        <w:rPr>
          <w:rFonts w:ascii="Arial" w:cs="Arial" w:eastAsia="Arial" w:hAnsi="Arial"/>
          <w:sz w:val="15"/>
          <w:szCs w:val="15"/>
          <w:b w:val="1"/>
          <w:bCs w:val="1"/>
          <w:i w:val="1"/>
          <w:iCs w:val="1"/>
          <w:color w:val="auto"/>
        </w:rPr>
        <w:t>Drug development is a lengthy and expensive process, and clinical testing is uncertain as to the outcome. We may encounter substantial delays in the commencement, enrollment or completion of our clinical trials or we may fail to demonstrate safety and effectiveness to the satisfaction of applicable regulatory authorities, which could prevent us from advancing or commercializing our product candidates on a timely basis, if at all.</w:t>
      </w:r>
    </w:p>
    <w:p>
      <w:pPr>
        <w:spacing w:after="0" w:line="88"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The risk of failure in developing product candidates is high. It is impossible to predict when or if any product candidate would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product candidates in humans. We have not yet initiated or conducted a clinical trial of any product candidate.</w:t>
      </w:r>
    </w:p>
    <w:p>
      <w:pPr>
        <w:spacing w:after="0" w:line="143" w:lineRule="exact"/>
        <w:rPr>
          <w:sz w:val="20"/>
          <w:szCs w:val="20"/>
          <w:color w:val="auto"/>
        </w:rPr>
      </w:pPr>
    </w:p>
    <w:p>
      <w:pPr>
        <w:ind w:right="20" w:firstLine="449"/>
        <w:spacing w:after="0" w:line="335" w:lineRule="auto"/>
        <w:rPr>
          <w:sz w:val="20"/>
          <w:szCs w:val="20"/>
          <w:color w:val="auto"/>
        </w:rPr>
      </w:pPr>
      <w:r>
        <w:rPr>
          <w:rFonts w:ascii="Arial" w:cs="Arial" w:eastAsia="Arial" w:hAnsi="Arial"/>
          <w:sz w:val="15"/>
          <w:szCs w:val="15"/>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8"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Before we can commence clinical trials for a product candidate, we must complete extensive preclinical testing and studies that support clearance of our INDs, CTAs and other similar regulatory filings. We cannot be certain of the completion or outcome of our preclinical testing and studies for our product candidates and cannot predict whether the FDA, EMA or comparable foreign regulatory authorities will accept our proposed clinical programs or whether the outcome of our preclinical testing and studies will ultimately support the further development of any product candidates. Conducting preclinical testing is a lengthy, time-consuming and expensive process. The length of time may vary substantially according to the type, complexity and novelty of the program, and often can be several years or more per program. In addition, the progress and timing of our preclinical studies, including pharmacology and toxicology studies, may be impacted by the limited supply of non-human primates needed for such studies. As a result, we cannot be sure that we will be able to submit INDs, CTAs and other similar regulatory filings for our preclinical programs on the timelines we expect, if at all, and we cannot be sure that submission of such regulatory filings will result in the FDA, EMA or comparable foreign regulatory authorities allowing clinical trials to begin.</w:t>
      </w:r>
    </w:p>
    <w:p>
      <w:pPr>
        <w:spacing w:after="0" w:line="119" w:lineRule="exact"/>
        <w:rPr>
          <w:sz w:val="20"/>
          <w:szCs w:val="20"/>
          <w:color w:val="auto"/>
        </w:rPr>
      </w:pPr>
    </w:p>
    <w:p>
      <w:pPr>
        <w:jc w:val="both"/>
        <w:ind w:right="100" w:firstLine="449"/>
        <w:spacing w:after="0" w:line="331" w:lineRule="auto"/>
        <w:rPr>
          <w:sz w:val="20"/>
          <w:szCs w:val="20"/>
          <w:color w:val="auto"/>
        </w:rPr>
      </w:pPr>
      <w:r>
        <w:rPr>
          <w:rFonts w:ascii="Arial" w:cs="Arial" w:eastAsia="Arial" w:hAnsi="Arial"/>
          <w:sz w:val="16"/>
          <w:szCs w:val="16"/>
          <w:color w:val="auto"/>
        </w:rPr>
        <w:t>Furthermore, product candidates are subject to continued preclinical safety studies, which may be conducted concurrently with our clinical testing. The outcomes of these safety studies may delay the launch of or enrollment in clinical trials and could impact our ability to continue to conduct our clinical trials.</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20" w:firstLine="449"/>
        <w:spacing w:after="0" w:line="256" w:lineRule="auto"/>
        <w:rPr>
          <w:sz w:val="20"/>
          <w:szCs w:val="20"/>
          <w:color w:val="auto"/>
        </w:rPr>
      </w:pPr>
      <w:r>
        <w:rPr>
          <w:rFonts w:ascii="Arial" w:cs="Arial" w:eastAsia="Arial" w:hAnsi="Arial"/>
          <w:sz w:val="18"/>
          <w:szCs w:val="18"/>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trial design, dose selection issues, patient enrollment criteria and failure to demonstrate favorable safety or efficacy traits.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events that may prevent successful or timely completion of clinical development include:</w:t>
      </w:r>
    </w:p>
    <w:p>
      <w:pPr>
        <w:spacing w:after="0" w:line="212" w:lineRule="exact"/>
        <w:rPr>
          <w:sz w:val="20"/>
          <w:szCs w:val="20"/>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clinical research organizations, or CROs, and clinical trial sites;</w:t>
      </w:r>
    </w:p>
    <w:p>
      <w:pPr>
        <w:spacing w:after="0" w:line="234" w:lineRule="exact"/>
        <w:rPr>
          <w:rFonts w:ascii="Arial" w:cs="Arial" w:eastAsia="Arial" w:hAnsi="Arial"/>
          <w:sz w:val="16"/>
          <w:szCs w:val="16"/>
          <w:color w:val="auto"/>
        </w:rPr>
      </w:pPr>
    </w:p>
    <w:p>
      <w:pPr>
        <w:ind w:left="880" w:right="340" w:hanging="427"/>
        <w:spacing w:after="0" w:line="26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opening clinical trial sites or obtaining required institutional review board, or IRB, or independent ethics committee approval, or the equivalent review groups for sites outside the United States, at each clinical trial site;</w:t>
      </w:r>
    </w:p>
    <w:p>
      <w:pPr>
        <w:spacing w:after="0" w:line="172" w:lineRule="exact"/>
        <w:rPr>
          <w:rFonts w:ascii="Arial" w:cs="Arial" w:eastAsia="Arial" w:hAnsi="Arial"/>
          <w:sz w:val="18"/>
          <w:szCs w:val="18"/>
          <w:color w:val="auto"/>
        </w:rPr>
      </w:pPr>
    </w:p>
    <w:p>
      <w:pPr>
        <w:ind w:left="880" w:right="20" w:hanging="427"/>
        <w:spacing w:after="0" w:line="26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manufacturing concerns or after an inspection of our clinical trial operations or trial sites;</w:t>
      </w:r>
    </w:p>
    <w:p>
      <w:pPr>
        <w:spacing w:after="0" w:line="172" w:lineRule="exact"/>
        <w:rPr>
          <w:rFonts w:ascii="Arial" w:cs="Arial" w:eastAsia="Arial" w:hAnsi="Arial"/>
          <w:sz w:val="18"/>
          <w:szCs w:val="18"/>
          <w:color w:val="auto"/>
        </w:rPr>
      </w:pPr>
    </w:p>
    <w:p>
      <w:pPr>
        <w:ind w:left="880" w:right="180" w:hanging="427"/>
        <w:spacing w:after="0" w:line="26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inconclusive results observed in clinical trials, including failure to demonstrate statistical significance, which could lead us, or cause regulators to require us, to conduct additional clinical trials or abandon product development programs;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in accordance with the FDA’s GCPs;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physicians to adhere to delivery protocols leading to variable results;</w:t>
      </w:r>
    </w:p>
    <w:p>
      <w:pPr>
        <w:spacing w:after="0" w:line="211" w:lineRule="exact"/>
        <w:rPr>
          <w:rFonts w:ascii="Arial" w:cs="Arial" w:eastAsia="Arial" w:hAnsi="Arial"/>
          <w:sz w:val="18"/>
          <w:szCs w:val="18"/>
          <w:color w:val="auto"/>
        </w:rPr>
      </w:pPr>
    </w:p>
    <w:p>
      <w:pPr>
        <w:ind w:left="880" w:right="180" w:hanging="427"/>
        <w:spacing w:after="0" w:line="26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 including delays by third parties with whom we have contracted to perform certain of those functions;</w:t>
      </w:r>
    </w:p>
    <w:p>
      <w:pPr>
        <w:spacing w:after="0" w:line="172"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to comply with regulatory requirements or to meet their contractual obligations to us in a timely manner, or at all;</w:t>
      </w:r>
    </w:p>
    <w:p>
      <w:pPr>
        <w:spacing w:after="0" w:line="172" w:lineRule="exact"/>
        <w:rPr>
          <w:rFonts w:ascii="Arial" w:cs="Arial" w:eastAsia="Arial" w:hAnsi="Arial"/>
          <w:sz w:val="18"/>
          <w:szCs w:val="18"/>
          <w:color w:val="auto"/>
        </w:rPr>
      </w:pPr>
    </w:p>
    <w:p>
      <w:pPr>
        <w:ind w:left="880" w:right="500" w:hanging="427"/>
        <w:spacing w:after="0" w:line="268"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recruit patients to participate in a clinical trial, including as a result of competition with other pharmaceutical and biotechnology companies and the patient population size for our product candidates;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clinical trial or return for post-treatment follow-up;</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or patients dropping out of a trial;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211" w:lineRule="exact"/>
        <w:rPr>
          <w:rFonts w:ascii="Arial" w:cs="Arial" w:eastAsia="Arial" w:hAnsi="Arial"/>
          <w:sz w:val="18"/>
          <w:szCs w:val="18"/>
          <w:color w:val="auto"/>
        </w:rPr>
      </w:pPr>
    </w:p>
    <w:p>
      <w:pPr>
        <w:ind w:left="880" w:right="180" w:hanging="427"/>
        <w:spacing w:after="0" w:line="331" w:lineRule="auto"/>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occurrence of serious adverse events associated with a product candidate in development by another company, which are viewed to outweigh its potential benefits, and which may negatively impact the perception of our product due to a similarity in technology or approach;</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legal or regulatory regimes domestically or internationally related to patient rights and privacy; or</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Clinical trials must be conducted in accordance with the FDA and other applicable regulatory authorities’ legal requirements, regulations or guidelines, and are subject to oversight by these governmental agencies and IRBs or ethics committees at the medical institutions where the clinical trials are conducted. We could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24" w:lineRule="exact"/>
        <w:rPr>
          <w:sz w:val="20"/>
          <w:szCs w:val="20"/>
          <w:color w:val="auto"/>
        </w:rPr>
      </w:pPr>
    </w:p>
    <w:p>
      <w:pPr>
        <w:ind w:right="580" w:firstLine="449"/>
        <w:spacing w:after="0" w:line="268"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w:t>
      </w:r>
    </w:p>
    <w:p>
      <w:pPr>
        <w:spacing w:after="0" w:line="13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44"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Further, conducting clinical trials in foreign countries, as we plan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43" w:lineRule="exact"/>
        <w:rPr>
          <w:sz w:val="20"/>
          <w:szCs w:val="20"/>
          <w:color w:val="auto"/>
        </w:rPr>
      </w:pPr>
    </w:p>
    <w:p>
      <w:pPr>
        <w:ind w:right="720" w:firstLine="449"/>
        <w:spacing w:after="0" w:line="268" w:lineRule="auto"/>
        <w:rPr>
          <w:sz w:val="20"/>
          <w:szCs w:val="20"/>
          <w:color w:val="auto"/>
        </w:rPr>
      </w:pPr>
      <w:r>
        <w:rPr>
          <w:rFonts w:ascii="Arial" w:cs="Arial" w:eastAsia="Arial" w:hAnsi="Arial"/>
          <w:sz w:val="18"/>
          <w:szCs w:val="18"/>
          <w:color w:val="auto"/>
        </w:rPr>
        <w:t>Additionally, if the results of clinical trials are inconclusive or if there are safety concerns or serious adverse events associated with our product candidates, we may:</w:t>
      </w:r>
    </w:p>
    <w:p>
      <w:pPr>
        <w:spacing w:after="0" w:line="172" w:lineRule="exact"/>
        <w:rPr>
          <w:sz w:val="20"/>
          <w:szCs w:val="20"/>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delayed in obtaining marketing approval for product candidates, if at all;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11" w:lineRule="exact"/>
        <w:rPr>
          <w:rFonts w:ascii="Arial" w:cs="Arial" w:eastAsia="Arial" w:hAnsi="Arial"/>
          <w:sz w:val="18"/>
          <w:szCs w:val="18"/>
          <w:color w:val="auto"/>
        </w:rPr>
      </w:pPr>
    </w:p>
    <w:p>
      <w:pPr>
        <w:jc w:val="center"/>
        <w:ind w:left="5540" w:right="1160" w:hanging="5087"/>
        <w:spacing w:after="0" w:line="440" w:lineRule="auto"/>
        <w:tabs>
          <w:tab w:leader="none" w:pos="8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 20</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180" w:hanging="427"/>
        <w:spacing w:after="0" w:line="268"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risk evaluation and mitigation strategy, or REMS;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71"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In particular, each of the conditions for which we plan to develop product candidates are rare genetic diseases with limited patient pools from which to draw for clinical trials. Further, because it can be difficult to diagnose these diseases in the absence of a genetic screen, we may have difficulty finding patients who are eligible to participate in our studies. The eligibility criteria of our clinical trials will further limit the pool of available study participants. Additionally, the process of finding and diagnosing patients may prove costly. The treating physicians in our clinical trials may also use their medical discretion in advising patients enrolled in our clinical trials to withdraw from our studies to try alternative therapies.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EDO platform is unproven, and we may not be successful in our efforts to identify, discover or develop potential product candidates.</w:t>
      </w:r>
    </w:p>
    <w:p>
      <w:pPr>
        <w:spacing w:after="0" w:line="132"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success of our business depends upon our ability to identify, develop and commercialize products based on our proprietary EDO platform. Our current product candidates that have been developed through our EDO platform are disease-modifying peptide-conjugated oligonucleotides designed to treat a variety of degenerative neuromuscular diseases.</w:t>
      </w:r>
    </w:p>
    <w:p>
      <w:pPr>
        <w:spacing w:after="0" w:line="14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 xml:space="preserve">All of our product development programs are still in the research or preclinical stage of development and our approach to treating muscle disease is unproven. Our research programs may fail to identify potential product candidates for clinical development for a number of reasons. Our research methodology may be unsuccessful in identifying potential product candidates and our potential product candidates may be shown to have harmful side effects in preclinical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experiments or animal model studies. In addition, our potential product candidates may not show promising signals of therapeutic effect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experiments or studies or they may have other characteristics that may make the product candidates impractical to manufacture, unmarketable or unlikely to receive marketing approval. Further, because all of our development programs are based on our EDO platform, adverse developments with respect to one of our programs may have a significant adverse impact on the actual or perceived likelihood of success and value of our other programs.</w:t>
      </w:r>
    </w:p>
    <w:p>
      <w:pPr>
        <w:spacing w:after="0" w:line="118" w:lineRule="exact"/>
        <w:rPr>
          <w:sz w:val="20"/>
          <w:szCs w:val="20"/>
          <w:color w:val="auto"/>
        </w:rPr>
      </w:pPr>
    </w:p>
    <w:p>
      <w:pPr>
        <w:ind w:right="400" w:firstLine="449"/>
        <w:spacing w:after="0" w:line="259" w:lineRule="auto"/>
        <w:rPr>
          <w:sz w:val="20"/>
          <w:szCs w:val="20"/>
          <w:color w:val="auto"/>
        </w:rPr>
      </w:pPr>
      <w:r>
        <w:rPr>
          <w:rFonts w:ascii="Arial" w:cs="Arial" w:eastAsia="Arial" w:hAnsi="Arial"/>
          <w:sz w:val="18"/>
          <w:szCs w:val="18"/>
          <w:color w:val="auto"/>
        </w:rPr>
        <w:t>In addition, we have not completed all of our IND- and CTA-enabling activities or advanced any product candidates into clinical development. In addition, although we are advancing our initial programs in DMD and DM1, our EDO platform may fail to yield additional product candidates for clinical development for a number of reasons, including those discussed in these risk factors. In addition:</w:t>
      </w:r>
    </w:p>
    <w:p>
      <w:pPr>
        <w:spacing w:after="0" w:line="180" w:lineRule="exact"/>
        <w:rPr>
          <w:sz w:val="20"/>
          <w:szCs w:val="20"/>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we develop may nevertheless be covered by third parties’ patents or other intellectual property rights;</w:t>
      </w:r>
    </w:p>
    <w:p>
      <w:pPr>
        <w:spacing w:after="0" w:line="211" w:lineRule="exact"/>
        <w:rPr>
          <w:rFonts w:ascii="Arial" w:cs="Arial" w:eastAsia="Arial" w:hAnsi="Arial"/>
          <w:sz w:val="18"/>
          <w:szCs w:val="18"/>
          <w:color w:val="auto"/>
        </w:rPr>
      </w:pPr>
    </w:p>
    <w:p>
      <w:pPr>
        <w:ind w:left="880" w:right="160" w:hanging="427"/>
        <w:spacing w:after="0" w:line="26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toxicities or other characteristics that indicate that they are unlikely to be products that will receive marketing approval and achieve market acceptance;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 disorders;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market for a potential product candidate may change so that the continued development of that product candidate is no longer reasonable;</w:t>
      </w:r>
    </w:p>
    <w:p>
      <w:pPr>
        <w:spacing w:after="0" w:line="234" w:lineRule="exact"/>
        <w:rPr>
          <w:rFonts w:ascii="Arial" w:cs="Arial" w:eastAsia="Arial" w:hAnsi="Arial"/>
          <w:sz w:val="16"/>
          <w:szCs w:val="16"/>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regulatory pathway for a potential product candidate may be too complex and difficult to navigate successfully or economically.</w:t>
      </w:r>
    </w:p>
    <w:p>
      <w:pPr>
        <w:spacing w:after="0" w:line="194"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If we are unable to identify and discover suitable product candidates for clinical development, this would adversely impact our business strategy and our financial position and share price and could potentially cause us to cease operations.</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The outcome of preclinical studies and earlier-stage clinical trials may not be predictive of future results or the success of later preclinical studies and clinical trials.</w:t>
      </w:r>
    </w:p>
    <w:p>
      <w:pPr>
        <w:spacing w:after="0" w:line="132"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are in the early stages of our programs and have not completed our IND- and CTA-enabling activities or advanced any product candidates into clinical development. As a result, our belief in the capabilities of our platform is based on early research and preclinical studies. However, the results of preclinical studies may not be predictive of the results of later preclinical studies or clinical trials, and the results of any early-stage clinical trials may not be predictive of the results of later clinical trials. In addition, initial success in clinical trials may not be indicative of results obtained when such trials are completed.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clinical trials may not ultimately be successful or support further clinical development of our product candidates. There is a high failure rate for product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delays or difficulties in the enrollment of patients in clinical trials, our ability to complete clinical trials may be adversely impacted.</w:t>
      </w:r>
    </w:p>
    <w:p>
      <w:pPr>
        <w:spacing w:after="0" w:line="206" w:lineRule="exact"/>
        <w:rPr>
          <w:sz w:val="20"/>
          <w:szCs w:val="20"/>
          <w:color w:val="auto"/>
        </w:rPr>
      </w:pPr>
    </w:p>
    <w:p>
      <w:pPr>
        <w:jc w:val="both"/>
        <w:ind w:right="260" w:firstLine="449"/>
        <w:spacing w:after="0" w:line="25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180" w:lineRule="exact"/>
        <w:rPr>
          <w:sz w:val="20"/>
          <w:szCs w:val="20"/>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novel unproven approaches;</w:t>
      </w:r>
    </w:p>
    <w:p>
      <w:pPr>
        <w:spacing w:after="0" w:line="211" w:lineRule="exact"/>
        <w:rPr>
          <w:rFonts w:ascii="Arial" w:cs="Arial" w:eastAsia="Arial" w:hAnsi="Arial"/>
          <w:sz w:val="18"/>
          <w:szCs w:val="18"/>
          <w:color w:val="auto"/>
        </w:rPr>
      </w:pPr>
    </w:p>
    <w:p>
      <w:pPr>
        <w:ind w:left="880" w:right="320" w:hanging="427"/>
        <w:spacing w:after="0" w:line="268"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size of the patient population, in particular for rare diseases such as the diseases on which we are initially focused, and process for identifying patients;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2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severity of the disease or disorder under investigation;</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obtain and maintain patient consent;</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recruit clinical trial investigators of appropriate competencies and experience;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factors outside of our control, such as the COVID-19 pandemic.</w:t>
      </w:r>
    </w:p>
    <w:p>
      <w:pPr>
        <w:spacing w:after="0" w:line="171"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rely on and expect to continue to rely on CROs and clinical trial sites to ensure the proper and timely conduct of our clinical trials and we will have limited influence over their performance.</w:t>
      </w:r>
    </w:p>
    <w:p>
      <w:pPr>
        <w:spacing w:after="0" w:line="112"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Even if we are able to enroll a sufficient number of patients for our clinical trials, we may have difficulty maintaining patients in our clinical trials. Many of the patients who end up receiving placebo may perceive that they are not receiving the product candidate being tested, and they may decide to withdraw from our clinical trials to pursue other alternative therapies rather than continue the trial with the perception that they are receiving placebo.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115" w:lineRule="exact"/>
        <w:rPr>
          <w:sz w:val="20"/>
          <w:szCs w:val="20"/>
          <w:color w:val="auto"/>
        </w:rPr>
      </w:pPr>
    </w:p>
    <w:p>
      <w:pPr>
        <w:ind w:right="160"/>
        <w:spacing w:after="0" w:line="369" w:lineRule="auto"/>
        <w:rPr>
          <w:sz w:val="20"/>
          <w:szCs w:val="20"/>
          <w:color w:val="auto"/>
        </w:rPr>
      </w:pPr>
      <w:r>
        <w:rPr>
          <w:rFonts w:ascii="Arial" w:cs="Arial" w:eastAsia="Arial" w:hAnsi="Arial"/>
          <w:sz w:val="15"/>
          <w:szCs w:val="15"/>
          <w:b w:val="1"/>
          <w:bCs w:val="1"/>
          <w:i w:val="1"/>
          <w:iCs w:val="1"/>
          <w:color w:val="auto"/>
        </w:rPr>
        <w:t>Interim, initial, “top-line”, and preliminary data from our preclinical studies or clinical trials that we announce or publish from time to time may change as more patient data become available and are subject to audit and verification procedures that could result in material changes in the final data.</w:t>
      </w:r>
    </w:p>
    <w:p>
      <w:pPr>
        <w:spacing w:after="0" w:line="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18"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could result in volatility in the price of our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0" w:lineRule="exact"/>
        <w:rPr>
          <w:sz w:val="20"/>
          <w:szCs w:val="20"/>
          <w:color w:val="auto"/>
        </w:rPr>
      </w:pPr>
    </w:p>
    <w:p>
      <w:pPr>
        <w:ind w:right="200"/>
        <w:spacing w:after="0" w:line="369" w:lineRule="auto"/>
        <w:rPr>
          <w:sz w:val="20"/>
          <w:szCs w:val="20"/>
          <w:color w:val="auto"/>
        </w:rPr>
      </w:pPr>
      <w:r>
        <w:rPr>
          <w:rFonts w:ascii="Arial" w:cs="Arial" w:eastAsia="Arial" w:hAnsi="Arial"/>
          <w:sz w:val="15"/>
          <w:szCs w:val="15"/>
          <w:b w:val="1"/>
          <w:bCs w:val="1"/>
          <w:i w:val="1"/>
          <w:iCs w:val="1"/>
          <w:color w:val="auto"/>
        </w:rPr>
        <w:t>If any of our product candidates cause undesirable side effects or have other unexpected adverse properties, such side effects or properties could delay or prevent regulatory approval, limit the commercial potential or result in significant negative consequences following any potential marketing approval.</w:t>
      </w:r>
    </w:p>
    <w:p>
      <w:pPr>
        <w:spacing w:after="0" w:line="64"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We have not evaluated any product candidates in human clinical trials. It is impossible to predict when or if any of our product candidates will prove safe in humans. There can be no assurance that our technologies will not cause undesirable side effects.</w:t>
      </w:r>
    </w:p>
    <w:p>
      <w:pPr>
        <w:spacing w:after="0" w:line="132"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Although other oligonucleotide therapeutics have received regulatory approval, our approach is a novel approach to oligonucleotide therapy. As a result, there is uncertainty as to the safety profile of our product candidates compared to more well-established classes of therapies, or oligonucleotide therapeutics on their own. Moreover, there have been only a limited number of clinical trials involving the use of conjugated oligonucleotide therapeutics and none involving the proprietary technology used in our EDO platform.</w:t>
      </w:r>
    </w:p>
    <w:p>
      <w:pPr>
        <w:spacing w:after="0" w:line="143"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Results of our planned clinical trials could reveal a high and unacceptable severity and prevalence of side effects or unexpected characteristics. 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In addition, regulatory authorities may draw different conclusions, require additional testing to confirm these determinations, require more restrictive labeling or deny regulatory approval of the product candidate. Many product candidates that initially showed promise in early-stage testing have later been found to cause side effects that prevented further clinical development of the product candidates.</w:t>
      </w:r>
    </w:p>
    <w:p>
      <w:pPr>
        <w:spacing w:after="0" w:line="11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47"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In addition, if our product candidates receive marketing approval, and we or others later identify undesirable side effects caused by treatment with such drug, a number of potentially significant negative consequences could result, including:</w:t>
      </w:r>
    </w:p>
    <w:p>
      <w:pPr>
        <w:spacing w:after="0" w:line="51" w:lineRule="exact"/>
        <w:rPr>
          <w:sz w:val="20"/>
          <w:szCs w:val="20"/>
          <w:color w:val="auto"/>
        </w:rPr>
      </w:pPr>
    </w:p>
    <w:p>
      <w:pPr>
        <w:ind w:left="880" w:hanging="427"/>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authorities may suspend, limit or withdraw approvals of such product, or seek an injunction against its manufacture or distribution;</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200" w:hanging="427"/>
        <w:spacing w:after="0" w:line="331"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 w:lineRule="exact"/>
        <w:rPr>
          <w:rFonts w:ascii="Arial" w:cs="Arial" w:eastAsia="Arial" w:hAnsi="Arial"/>
          <w:sz w:val="16"/>
          <w:szCs w:val="16"/>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13" w:lineRule="exact"/>
        <w:rPr>
          <w:rFonts w:ascii="Arial" w:cs="Arial" w:eastAsia="Arial" w:hAnsi="Arial"/>
          <w:sz w:val="16"/>
          <w:szCs w:val="16"/>
          <w:color w:val="auto"/>
        </w:rPr>
      </w:pPr>
    </w:p>
    <w:p>
      <w:pPr>
        <w:ind w:left="880" w:right="160" w:hanging="427"/>
        <w:spacing w:after="0" w:line="26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our lead product candidate or our other product candidates, if approved, and could significantly harm our business, financial condition, results of operations and prospects.</w:t>
      </w:r>
    </w:p>
    <w:p>
      <w:pPr>
        <w:spacing w:after="0" w:line="51" w:lineRule="exact"/>
        <w:rPr>
          <w:sz w:val="20"/>
          <w:szCs w:val="20"/>
          <w:color w:val="auto"/>
        </w:rPr>
      </w:pPr>
    </w:p>
    <w:p>
      <w:pPr>
        <w:ind w:right="740"/>
        <w:spacing w:after="0" w:line="331"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program, product candidate or indication and fail to capitalize on programs, product candidates or indications that may be more profitable or for which there is a greater likelihood of success.</w:t>
      </w:r>
    </w:p>
    <w:p>
      <w:pPr>
        <w:spacing w:after="0" w:line="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Because we have limited financial and managerial resources, we focus on research programs and expect to focus on product candidates that we identify for specific indications among many potential options. As a result, we may forego or delay pursuit of opportunities with other product candidates or for other indications that later prove to have greater commercial potential, or we may choose to focus our efforts and resources on a potential product candidate that ultimately proves to be unsuccessful.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increasing use of social media platforms presents new risks and challenges.</w:t>
      </w:r>
    </w:p>
    <w:p>
      <w:pPr>
        <w:spacing w:after="0" w:line="171"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Social media is increasingly being used to communicate about pharmaceutical companies’ clinical development activities, and we intend to utilize appropriate social media in connection with our development efforts. Additionally, patients may use social media channels to comment on their experience in an ongoing blinded clinical trial or to report an alleged adverse event. If such disclosures occur in the future once we commence our first clinical trials,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or confidential information or negative or inaccurate posts or comments about us on any social networking website. In addition, we may encounter attacks on social media regarding our company, management or our product candidates. If any of these events were to occur or we otherwise fail to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comply with applicable regulations, we could incur liability, face regulatory actions or incur other harm to our business.</w:t>
      </w:r>
    </w:p>
    <w:p>
      <w:pPr>
        <w:spacing w:after="0" w:line="171"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could cause us to incur substantial liabilities and could limit commercialization of our product candidates.</w:t>
      </w:r>
    </w:p>
    <w:p>
      <w:pPr>
        <w:spacing w:after="0" w:line="13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will face an inherent risk of clinical trial and product liability exposure related to the testing of any product candidates that proceed to clinical trials, and we will face an even greater risk if we commercially sell any products that receive marketing approval. While we currently have no product candidates in clinical trials or that have been approved for commercial sale, the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160" w:lineRule="exact"/>
        <w:rPr>
          <w:sz w:val="20"/>
          <w:szCs w:val="20"/>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71"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We will need to increase our insurance coverage if we commence clinical trials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1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b w:val="1"/>
          <w:bCs w:val="1"/>
          <w:i w:val="1"/>
          <w:iCs w:val="1"/>
          <w:color w:val="auto"/>
        </w:rPr>
        <w:t>We intend to conduct certain of our clinical trials for our product candidates outside of the United States. However, the FDA and comparable foreign regulatory authorities may not accept data from such trials, in which case our development plans will be delayed, which could materially harm our business.</w:t>
      </w:r>
    </w:p>
    <w:p>
      <w:pPr>
        <w:spacing w:after="0" w:line="14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We intend to conduct one or more of our clinical trials for our product candidates outside the United States. Although the FDA may accept data from clinical trials conducted outside the United States, acceptance of this data is subject to certain conditions imposed by the FDA.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studies that are conducted only at sites outside of the United States and not subject to an IND, the FDA generally does not provide advance comment on the clinical protocols for the studies, and therefore there is an additional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potential risk that the FDA could determine that the study design or protocol for a non-U.S. clinical trial was inadequate, which could require us to conduct additional clinical trials.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There can be no assurance the FDA will accept data from clinical trials conducted outside of the United States. If the FDA does not accept data from our clinical trials of our product candidates, it would likely result in the need for additional clinical trials, which would be costly and time consuming and delay or permanently halt our development of our product candidates.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212" w:lineRule="exact"/>
        <w:rPr>
          <w:sz w:val="20"/>
          <w:szCs w:val="20"/>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research and preclinical and clinical testing, and these third parties may not perform satisfactorily.</w:t>
      </w:r>
    </w:p>
    <w:p>
      <w:pPr>
        <w:spacing w:after="0" w:line="13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do not expect to independently conduct all aspects of our product manufacturing, research and preclinical and clinical testing. We currently rely, and expect to continue to rely, on third parties with respect to many of these items, including contract manufacturing organizations, or CMOs, for the manufacturing of any product candidates we test in preclinical or clinical development, as well as CROs for the conduct of our animal testing and research for the conduct of our planned clinical trials. Any of these third parties may terminate their engagements with us at any time. If we need to enter into alternative arrangements, it could delay our product development activities.</w:t>
      </w:r>
    </w:p>
    <w:p>
      <w:pPr>
        <w:spacing w:after="0" w:line="14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responsibility to ensure compliance with all required regulations and study protocols. For example, we will remain responsible for ensuring that each of our IND- and CTA-enabling studies and clinical trials are conducted in accordance with the study plan and protocols.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conditions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that comply with the FDA’s current Good Manufacturing Practices, or cGMPs. Our failure to comply with these regulations may require us to repeat clinical trials, which would delay the regulatory approval process.</w:t>
      </w:r>
    </w:p>
    <w:p>
      <w:pPr>
        <w:spacing w:after="0" w:line="132"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Although we intend to design the clinical trials for our product candidates,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56" w:lineRule="exact"/>
        <w:rPr>
          <w:sz w:val="20"/>
          <w:szCs w:val="20"/>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71"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preclinical studies and clinical trials and may subject us to unexpected cost increases that are beyond our control. In addition, any third parties conducting our clinical trials will not be our employees, and except for remedies available to us under our agreements with such third parties, we cannot control whether or not they devote sufficient time and resources to our clinical programs. If the CROs and other third parties do not perform preclinical studies and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19"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 CTA and other similar regulatory filings and potential approval of our product candidates.</w:t>
      </w:r>
    </w:p>
    <w:p>
      <w:pPr>
        <w:spacing w:after="0" w:line="106"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In addition, there are few CMOs who have the capability to both, on the one hand, manufacture oligonucleotides and peptides, and, other, conjugate them, both of which processes are critical to the development and production of our product candidates. We are aware that one or more competitors have engaged many of these CMOs, which may hinder our ability to also contract with those CMOs. As a result, we may have difficulty finding and engaging sufficient third party manufacturers to develop and manufacture our product candidates, which may affect our ability to conduct preclinical studies and clinical trials.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331" w:lineRule="auto"/>
        <w:rPr>
          <w:sz w:val="20"/>
          <w:szCs w:val="20"/>
          <w:color w:val="auto"/>
        </w:rPr>
      </w:pPr>
      <w:r>
        <w:rPr>
          <w:rFonts w:ascii="Arial" w:cs="Arial" w:eastAsia="Arial" w:hAnsi="Arial"/>
          <w:sz w:val="16"/>
          <w:szCs w:val="16"/>
          <w:b w:val="1"/>
          <w:bCs w:val="1"/>
          <w:i w:val="1"/>
          <w:iCs w:val="1"/>
          <w:color w:val="auto"/>
        </w:rPr>
        <w:t>We currently depend on a small number of third-party suppliers to supply the product candidates that we are evaluating in our research programs. The loss of these or future third-party suppliers, or their inability provide us with sufficient supply, could harm our business.</w:t>
      </w:r>
    </w:p>
    <w:p>
      <w:pPr>
        <w:spacing w:after="0" w:line="87" w:lineRule="exact"/>
        <w:rPr>
          <w:sz w:val="20"/>
          <w:szCs w:val="20"/>
          <w:color w:val="auto"/>
        </w:rPr>
      </w:pPr>
    </w:p>
    <w:p>
      <w:pPr>
        <w:ind w:firstLine="449"/>
        <w:spacing w:after="0" w:line="309" w:lineRule="auto"/>
        <w:rPr>
          <w:sz w:val="20"/>
          <w:szCs w:val="20"/>
          <w:color w:val="auto"/>
        </w:rPr>
      </w:pPr>
      <w:r>
        <w:rPr>
          <w:rFonts w:ascii="Arial" w:cs="Arial" w:eastAsia="Arial" w:hAnsi="Arial"/>
          <w:sz w:val="15"/>
          <w:szCs w:val="15"/>
          <w:color w:val="auto"/>
        </w:rPr>
        <w:t>We do not own or operate manufacturing facilities and have no current plans to develop our own clinical or commercial-scale manufacturing capabilities. We rely on a small number of third-party suppliers for the manufacture of the product candidates that we are evaluating in our research programs. We expect to continue to depend on third-party suppliers for the manufacture of any product candidates we advance into preclinical and clinical development, as well as for commercial manufacture if those product candidates receive marketing approval. The facilities used by third-party manufacturers to manufacture our product candidates must be approved by the FDA, the EMA and any comparable foreign regulatory authority pursuant to inspections that will be conducted after we submit a new drug application, or NDA, to the FDA or any comparable filing to the EMA or other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the EMA or any comparable foreign regulatory authority, they will not be able to secure and/or maintain regulatory approval for their manufacturing facilities.</w:t>
      </w:r>
    </w:p>
    <w:p>
      <w:pPr>
        <w:spacing w:after="0" w:line="10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In addition, we have no control over the ability of third-party manufacturers to maintain adequate quality control, quality assurance and qualified personnel. If the FDA, the EMA or any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118"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We may also seek to eventually establish our own manufacturing facility for the long-term commercial supply of our product candidates for which receive regulatory approval, if any. If we determine to establish our own manufacturing facility and manufacture our products on our own, we will need to obtain the resources and expertise in order to build such manufacturing capabilities and to conduct such manufacturing operations. In addition, our conduct of such manufacturing operations will be subject to the extensive regulations and operational risks to which our third-party suppliers are subject. If we are not successful in building these capabilities or complying with the regulations or otherwise operating our manufacturing function, our commercial supply could be disrupted and our business could be materially harmed.</w:t>
      </w:r>
    </w:p>
    <w:p>
      <w:pPr>
        <w:spacing w:after="0" w:line="120"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Our or a third party’s failure to execute on our manufacturing requirements on commercially reasonable terms and in compliance with cGMP could adversely affect our business in a number of ways, including:</w:t>
      </w:r>
    </w:p>
    <w:p>
      <w:pPr>
        <w:spacing w:after="0" w:line="172" w:lineRule="exact"/>
        <w:rPr>
          <w:sz w:val="20"/>
          <w:szCs w:val="20"/>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initiate preclinical studies or clinical trials of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submitting regulatory applications, or receiving marketing approvals, for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product candidates; and</w:t>
      </w:r>
    </w:p>
    <w:p>
      <w:pPr>
        <w:spacing w:after="0" w:line="211" w:lineRule="exact"/>
        <w:rPr>
          <w:rFonts w:ascii="Arial" w:cs="Arial" w:eastAsia="Arial" w:hAnsi="Arial"/>
          <w:sz w:val="18"/>
          <w:szCs w:val="18"/>
          <w:color w:val="auto"/>
        </w:rPr>
      </w:pPr>
    </w:p>
    <w:p>
      <w:pPr>
        <w:ind w:left="5540" w:right="1580" w:hanging="5087"/>
        <w:spacing w:after="0" w:line="440" w:lineRule="auto"/>
        <w:tabs>
          <w:tab w:leader="none" w:pos="8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any product, an inability to meet commercial demands for the product. 29</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We are party to manufacturing agreements with a number of third-party manufacturers. We may be unable to maintain these agreements or establish any additional agreements with third-party manufacturers or to do so on acceptable terms. Even if we are able to maintain or establish agreements with third-party manufacturers, reliance on third-party manufacturers entails additional risks, including:</w:t>
      </w:r>
    </w:p>
    <w:p>
      <w:pPr>
        <w:spacing w:after="0" w:line="180" w:lineRule="exact"/>
        <w:rPr>
          <w:sz w:val="20"/>
          <w:szCs w:val="20"/>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 party;</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manufacture according to our specifications;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manufacture according to our schedule or at all;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171" w:lineRule="exact"/>
        <w:rPr>
          <w:sz w:val="20"/>
          <w:szCs w:val="20"/>
          <w:color w:val="auto"/>
        </w:rPr>
      </w:pPr>
    </w:p>
    <w:p>
      <w:pPr>
        <w:ind w:right="580" w:firstLine="449"/>
        <w:spacing w:after="0" w:line="268" w:lineRule="auto"/>
        <w:rPr>
          <w:sz w:val="20"/>
          <w:szCs w:val="20"/>
          <w:color w:val="auto"/>
        </w:rPr>
      </w:pPr>
      <w:r>
        <w:rPr>
          <w:rFonts w:ascii="Arial" w:cs="Arial" w:eastAsia="Arial" w:hAnsi="Arial"/>
          <w:sz w:val="18"/>
          <w:szCs w:val="18"/>
          <w:color w:val="auto"/>
        </w:rPr>
        <w:t>We may compete with third parties for access to manufacturing facilities. There are a limited number of manufacturers that operate under cGMP regulations and that might be capable of manufacturing for us.</w:t>
      </w:r>
    </w:p>
    <w:p>
      <w:pPr>
        <w:spacing w:after="0" w:line="13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do not currently have arrangements in place for redundant supply or a second source for all required raw materials. If our existing or future third-party manufacturers cannot perform as agreed, we may be required to replace such manufacturers and we may be unable to replace them on a timely basis or at all.</w:t>
      </w:r>
    </w:p>
    <w:p>
      <w:pPr>
        <w:spacing w:after="0" w:line="14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Additionally, if supply from one approved manufacturer is interrupted, there could be a significant disruption in supply. An alternative manufacturer would need to be qualified and authorized pursuant to a submission to our approved NDA or NDA supplement which could result in further delay. Further, we will also need to verify, such as through comparability or bridging studies, that any new or modified manufacturing processes will produce our product candidate according to the specifications previously submitted to the FDA, the EMA or comparable foreign regulatory authorities.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 candidates. We may be unsuccessful in demonstrating the comparability of clinical supplies to those previously allowed into clinical development by the FDA, the EMA or comparable foreign regulatory authorities which could require the conduct of additional studies or clinical trials.</w:t>
      </w:r>
    </w:p>
    <w:p>
      <w:pPr>
        <w:spacing w:after="0" w:line="12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Switching manufacturers may involve substantial costs and is likely to result in a delay in our desired clinical and commercial timelines. These factors could cause the delay of clinical trials,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147" w:lineRule="exact"/>
        <w:rPr>
          <w:sz w:val="20"/>
          <w:szCs w:val="20"/>
          <w:color w:val="auto"/>
        </w:rPr>
      </w:pPr>
    </w:p>
    <w:p>
      <w:pPr>
        <w:ind w:right="280" w:firstLine="449"/>
        <w:spacing w:after="0" w:line="331" w:lineRule="auto"/>
        <w:rPr>
          <w:sz w:val="20"/>
          <w:szCs w:val="20"/>
          <w:color w:val="auto"/>
        </w:rPr>
      </w:pPr>
      <w:r>
        <w:rPr>
          <w:rFonts w:ascii="Arial" w:cs="Arial" w:eastAsia="Arial" w:hAnsi="Arial"/>
          <w:sz w:val="16"/>
          <w:szCs w:val="16"/>
          <w:color w:val="auto"/>
        </w:rPr>
        <w:t>Our current and anticipated future dependence upon third parties for the manufacture of any product candidates we develop may adversely affect our development programs and our ability to commercialize any products that receive marketing approval on a timely and competitive basis.</w:t>
      </w:r>
    </w:p>
    <w:p>
      <w:pPr>
        <w:spacing w:after="0" w:line="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from time to time be dependent on single-source suppliers for some of the components and materials used in our product candidates.</w:t>
      </w:r>
    </w:p>
    <w:p>
      <w:pPr>
        <w:spacing w:after="0" w:line="194"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Although we currently do not use any single-source supplier, we may from time to time depend on such suppliers for some of the components and materials used in our product candidates.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19" w:lineRule="exact"/>
        <w:rPr>
          <w:sz w:val="20"/>
          <w:szCs w:val="20"/>
          <w:color w:val="auto"/>
        </w:rPr>
      </w:pPr>
    </w:p>
    <w:p>
      <w:pPr>
        <w:ind w:right="80" w:firstLine="449"/>
        <w:spacing w:after="0" w:line="253" w:lineRule="auto"/>
        <w:rPr>
          <w:sz w:val="20"/>
          <w:szCs w:val="20"/>
          <w:color w:val="auto"/>
        </w:rPr>
      </w:pPr>
      <w:r>
        <w:rPr>
          <w:rFonts w:ascii="Arial" w:cs="Arial" w:eastAsia="Arial" w:hAnsi="Arial"/>
          <w:sz w:val="18"/>
          <w:szCs w:val="18"/>
          <w:color w:val="auto"/>
        </w:rPr>
        <w:t>If we are required to switch to a replacement supplier, the manufacture and delivery of our product candidates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In the event that we should depend on single-source suppliers, we would seek to maintain adequate inventory of the single source components and materials used in our products; however,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47" w:lineRule="exact"/>
        <w:rPr>
          <w:sz w:val="20"/>
          <w:szCs w:val="20"/>
          <w:color w:val="auto"/>
        </w:rPr>
      </w:pPr>
    </w:p>
    <w:p>
      <w:pPr>
        <w:ind w:right="100"/>
        <w:spacing w:after="0" w:line="331" w:lineRule="auto"/>
        <w:rPr>
          <w:sz w:val="20"/>
          <w:szCs w:val="20"/>
          <w:color w:val="auto"/>
        </w:rPr>
      </w:pPr>
      <w:r>
        <w:rPr>
          <w:rFonts w:ascii="Arial" w:cs="Arial" w:eastAsia="Arial" w:hAnsi="Arial"/>
          <w:sz w:val="16"/>
          <w:szCs w:val="16"/>
          <w:b w:val="1"/>
          <w:bCs w:val="1"/>
          <w:i w:val="1"/>
          <w:iCs w:val="1"/>
          <w:color w:val="auto"/>
        </w:rPr>
        <w:t>We may enter into collaborations with third parties for the research, development and commercialization of certain of our product candidates. If any such collaborations are not successful, we may not be able to capitalize on the market potential of those product candidates.</w:t>
      </w:r>
    </w:p>
    <w:p>
      <w:pPr>
        <w:spacing w:after="0" w:line="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our product candidates. If we enter into any such arrangements with any third parties, we will likely have limited control over the amount and timing of resources that our collaborators dedicate to the development or commercialization of any product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Collaborations involving our research programs or our product candidates pose numerous risks to us, including the following:</w:t>
      </w:r>
    </w:p>
    <w:p>
      <w:pPr>
        <w:spacing w:after="0" w:line="212" w:lineRule="exact"/>
        <w:rPr>
          <w:sz w:val="20"/>
          <w:szCs w:val="20"/>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would have significant discretion in determining the efforts and resources that they will apply to these collaborations;</w:t>
      </w:r>
    </w:p>
    <w:p>
      <w:pPr>
        <w:spacing w:after="0" w:line="211" w:lineRule="exact"/>
        <w:rPr>
          <w:rFonts w:ascii="Arial" w:cs="Arial" w:eastAsia="Arial" w:hAnsi="Arial"/>
          <w:sz w:val="18"/>
          <w:szCs w:val="18"/>
          <w:color w:val="auto"/>
        </w:rPr>
      </w:pPr>
    </w:p>
    <w:p>
      <w:pPr>
        <w:ind w:left="880" w:right="60" w:hanging="427"/>
        <w:spacing w:after="0" w:line="259"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80" w:lineRule="exact"/>
        <w:rPr>
          <w:rFonts w:ascii="Arial" w:cs="Arial" w:eastAsia="Arial" w:hAnsi="Arial"/>
          <w:sz w:val="18"/>
          <w:szCs w:val="18"/>
          <w:color w:val="auto"/>
        </w:rPr>
      </w:pPr>
    </w:p>
    <w:p>
      <w:pPr>
        <w:ind w:left="880" w:right="100" w:hanging="427"/>
        <w:spacing w:after="0" w:line="259"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delay programs, preclinical studies or clinical trials, provide insufficient funding for programs, preclinical studies or clinical trials, stop a preclinical study or clinical trial or abandon a product candidate, repeat or conduct new clinical trials or require a new formulation of a product candidate for clinical testing;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line="259"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0" w:lineRule="exact"/>
        <w:rPr>
          <w:rFonts w:ascii="Arial" w:cs="Arial" w:eastAsia="Arial" w:hAnsi="Arial"/>
          <w:sz w:val="18"/>
          <w:szCs w:val="18"/>
          <w:color w:val="auto"/>
        </w:rPr>
      </w:pPr>
    </w:p>
    <w:p>
      <w:pPr>
        <w:ind w:left="880" w:right="880" w:hanging="427"/>
        <w:spacing w:after="0" w:line="33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127" w:lineRule="exact"/>
        <w:rPr>
          <w:rFonts w:ascii="Arial" w:cs="Arial" w:eastAsia="Arial" w:hAnsi="Arial"/>
          <w:sz w:val="16"/>
          <w:szCs w:val="16"/>
          <w:color w:val="auto"/>
        </w:rPr>
      </w:pPr>
    </w:p>
    <w:p>
      <w:pPr>
        <w:ind w:left="880" w:right="40" w:hanging="427"/>
        <w:spacing w:after="0" w:line="268"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2" w:lineRule="exact"/>
        <w:rPr>
          <w:rFonts w:ascii="Arial" w:cs="Arial" w:eastAsia="Arial" w:hAnsi="Arial"/>
          <w:sz w:val="18"/>
          <w:szCs w:val="18"/>
          <w:color w:val="auto"/>
        </w:rPr>
      </w:pPr>
    </w:p>
    <w:p>
      <w:pPr>
        <w:ind w:left="880" w:right="100" w:hanging="427"/>
        <w:spacing w:after="0" w:line="33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27" w:lineRule="exact"/>
        <w:rPr>
          <w:rFonts w:ascii="Arial" w:cs="Arial" w:eastAsia="Arial" w:hAnsi="Arial"/>
          <w:sz w:val="16"/>
          <w:szCs w:val="16"/>
          <w:color w:val="auto"/>
        </w:rPr>
      </w:pPr>
    </w:p>
    <w:p>
      <w:pPr>
        <w:ind w:left="880" w:right="200" w:hanging="427"/>
        <w:spacing w:after="0" w:line="331" w:lineRule="auto"/>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27" w:lineRule="exact"/>
        <w:rPr>
          <w:rFonts w:ascii="Arial" w:cs="Arial" w:eastAsia="Arial" w:hAnsi="Arial"/>
          <w:sz w:val="16"/>
          <w:szCs w:val="16"/>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lose certain valuable rights under certain circumstances, including if we undergo a change of control;</w:t>
      </w:r>
    </w:p>
    <w:p>
      <w:pPr>
        <w:spacing w:after="0" w:line="211"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affected product candidates; and</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194"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prospectus apply to the activities of our collaborators.</w:t>
      </w:r>
    </w:p>
    <w:p>
      <w:pPr>
        <w:spacing w:after="0" w:line="14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conflicts arise between us and our potential collaborators, these parties may act in a manner adverse to us and could limit our ability to implement our strategies.</w:t>
      </w:r>
    </w:p>
    <w:p>
      <w:pPr>
        <w:spacing w:after="0" w:line="132"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If conflicts arise between us and our potential collaborators, the other party may act in a manner adverse to us and could limit our ability to implement our strategies. Our collaborators may develop, either alone or with others, products in related fields that are competitive with our product candidates that are the subject of these collaborations with us. Competing products, either developed by the collaborators or to which the collaborators have rights, may result in the withdrawal of support for our product candidates.</w:t>
      </w:r>
    </w:p>
    <w:p>
      <w:pPr>
        <w:spacing w:after="0" w:line="143" w:lineRule="exact"/>
        <w:rPr>
          <w:sz w:val="20"/>
          <w:szCs w:val="20"/>
          <w:color w:val="auto"/>
        </w:rPr>
      </w:pPr>
    </w:p>
    <w:p>
      <w:pPr>
        <w:jc w:val="both"/>
        <w:ind w:right="200" w:firstLine="449"/>
        <w:spacing w:after="0" w:line="256" w:lineRule="auto"/>
        <w:rPr>
          <w:sz w:val="20"/>
          <w:szCs w:val="20"/>
          <w:color w:val="auto"/>
        </w:rPr>
      </w:pPr>
      <w:r>
        <w:rPr>
          <w:rFonts w:ascii="Arial" w:cs="Arial" w:eastAsia="Arial" w:hAnsi="Arial"/>
          <w:sz w:val="18"/>
          <w:szCs w:val="18"/>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on commercially reasonable terms, we may have to alter our development and commercialization plans.</w:t>
      </w:r>
    </w:p>
    <w:p>
      <w:pPr>
        <w:spacing w:after="0" w:line="206"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Our product development and research programs and the potential commercialization of our product candidates will require substantial additional cash to fund expenses. For some of our product candidates, we may decide to collaborate with other pharmaceutical and biotechnology companies for the development and potential commercialization of those product candidates.</w:t>
      </w:r>
    </w:p>
    <w:p>
      <w:pPr>
        <w:spacing w:after="0" w:line="140"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24" w:lineRule="exact"/>
        <w:rPr>
          <w:sz w:val="20"/>
          <w:szCs w:val="20"/>
          <w:color w:val="auto"/>
        </w:rPr>
      </w:pPr>
    </w:p>
    <w:p>
      <w:pPr>
        <w:ind w:right="620" w:firstLine="449"/>
        <w:spacing w:after="0" w:line="331"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87" w:lineRule="exact"/>
        <w:rPr>
          <w:sz w:val="20"/>
          <w:szCs w:val="20"/>
          <w:color w:val="auto"/>
        </w:rPr>
      </w:pPr>
    </w:p>
    <w:p>
      <w:pPr>
        <w:ind w:right="280" w:firstLine="449"/>
        <w:spacing w:after="0" w:line="256"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product candidate.</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132"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engage a number of third-party suppliers and service providers to supply critical goods and services, such as contract research services, contract manufacturing services and IT services. Disruptions to the business, financial stability or operations of these suppliers and service providers, including due to strikes, labor disputes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auto"/>
        </w:rPr>
        <w:t>or other disruptions to the workforce, for instance, if, as a result of COVID-19,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product candidates on a timely basis. If these suppliers and service providers were unable or unwilling to continue to provide their products or services in the manner expected, or at all, we could encounter difficulty finding alternative suppliers. Even if we are able to secure appropriate alternative suppliers in a timely manner, costs for such products or services could increase significantly. Any of these events could adversely affect our results of operations and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Regulatory and Legal Compliance Matters</w:t>
      </w:r>
    </w:p>
    <w:p>
      <w:pPr>
        <w:spacing w:after="0" w:line="177" w:lineRule="exact"/>
        <w:rPr>
          <w:sz w:val="20"/>
          <w:szCs w:val="20"/>
          <w:color w:val="auto"/>
        </w:rPr>
      </w:pPr>
    </w:p>
    <w:p>
      <w:pPr>
        <w:ind w:right="720"/>
        <w:spacing w:after="0" w:line="331" w:lineRule="auto"/>
        <w:rPr>
          <w:sz w:val="20"/>
          <w:szCs w:val="20"/>
          <w:color w:val="auto"/>
        </w:rPr>
      </w:pPr>
      <w:r>
        <w:rPr>
          <w:rFonts w:ascii="Arial" w:cs="Arial" w:eastAsia="Arial" w:hAnsi="Arial"/>
          <w:sz w:val="16"/>
          <w:szCs w:val="16"/>
          <w:b w:val="1"/>
          <w:bCs w:val="1"/>
          <w:i w:val="1"/>
          <w:iCs w:val="1"/>
          <w:color w:val="auto"/>
        </w:rPr>
        <w:t>All of our product candidates are still in preclinical development. As an organization, we have never conducted any clinical trials or submitted an application for regulatory approval, and may be unable to do so for any of our product candidates.</w:t>
      </w:r>
    </w:p>
    <w:p>
      <w:pPr>
        <w:spacing w:after="0" w:line="87"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We have no experience as a company in conducting and managing the clinical trials necessary to obtain regulatory approvals, including approval by the FDA, the EMA or comparable foreign regulatory authorities, or in obtaining approval of any of our product candidate. We are early in our development efforts for our product candidates and we will need to successfully complete IND- or CTA-enabling activities, Phase 1 clinical trials and later-stage and pivotal clinical trials, in order to obtain FDA, EMA or comparable foreign regulatory approval to market PGN-EDO51, PGN-EDODM1, PGN-EDO53 and any future product candidates.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Carrying out clinical trials and the submission of a successful NDA is a complicated process. We plan to commence our first Phase 1 clinical trial for</w:t>
      </w:r>
    </w:p>
    <w:p>
      <w:pPr>
        <w:spacing w:after="0" w:line="38"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PGN-EDO51 in and our Phase 1 clinical trials for PGN-EDODM1 and PGN-EDO53 in and , respectively, subject, in each case, to receiving authorization to proceed under an IND. Based on our pre-clinical observations of levels of exon-skipping following administration of PGN-EDO51, as compared to an R</w:t>
      </w:r>
      <w:r>
        <w:rPr>
          <w:rFonts w:ascii="Arial" w:cs="Arial" w:eastAsia="Arial" w:hAnsi="Arial"/>
          <w:sz w:val="22"/>
          <w:szCs w:val="22"/>
          <w:color w:val="auto"/>
          <w:vertAlign w:val="subscript"/>
        </w:rPr>
        <w:t>6</w:t>
      </w:r>
      <w:r>
        <w:rPr>
          <w:rFonts w:ascii="Arial" w:cs="Arial" w:eastAsia="Arial" w:hAnsi="Arial"/>
          <w:sz w:val="18"/>
          <w:szCs w:val="18"/>
          <w:color w:val="auto"/>
        </w:rPr>
        <w:t>G compound that we believe is equivalent to a molecule currently under development by Sarepta, we expect to observe higher levels of wild-type dystrophin production by PGN-EDO51 in clinical testing. However, our belief in the equivalency of the R</w:t>
      </w:r>
      <w:r>
        <w:rPr>
          <w:rFonts w:ascii="Arial" w:cs="Arial" w:eastAsia="Arial" w:hAnsi="Arial"/>
          <w:sz w:val="22"/>
          <w:szCs w:val="22"/>
          <w:color w:val="auto"/>
          <w:vertAlign w:val="subscript"/>
        </w:rPr>
        <w:t>6</w:t>
      </w:r>
      <w:r>
        <w:rPr>
          <w:rFonts w:ascii="Arial" w:cs="Arial" w:eastAsia="Arial" w:hAnsi="Arial"/>
          <w:sz w:val="18"/>
          <w:szCs w:val="18"/>
          <w:color w:val="auto"/>
        </w:rPr>
        <w:t>G compound that we tested in the pre-clinical setting may be erroneous. In addition, there can be no assurance that our expectations of higher wild-type dystrophin production will be reflected in clinical evaluation of PGN-EDO51.</w:t>
      </w:r>
    </w:p>
    <w:p>
      <w:pPr>
        <w:spacing w:after="0" w:line="15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have not previously conducted any clinical trials, have limited experience as a company in preparing, submitting and prosecuting regulatory filings and have not previously submitted an IND or an NDA or other comparable foreign regulatory submission for any product candidate. In addition, we have had limited interactions with the FDA, the EMA and comparable foreign regulatory authorities and cannot be certain how many clinical trials of PGN-EDO51, PGN-EDODM1, PGN-EDO53 or any other product candidates will be required or how such trials should be designed. For example, the FDA has approved at least four drugs based on their minimal dystrophin production, and it is our belief that we may be able to pursue for accelerated approval of PGN-EDO51 on that same basis; however, we have not yet had any interactions with the FDA, the EMA or comparable foreign regulatory authorities regarding the potential for an accelerated approval program for PGN-EDO51 nor have we received feedback from the FDA, the EMA or comparable foreign regulatory authorities on the viability of this clinical strategy.</w:t>
      </w:r>
    </w:p>
    <w:p>
      <w:pPr>
        <w:spacing w:after="0" w:line="124"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NDAs for and commercializing our product candidates.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 If we are not able to obtain, or if there are delays in obtaining, required regulatory approvals, we will not be able to commercialize, or will be delayed in commercializing, our product candidates, and our ability to generate revenue will be materially impaired.</w:t>
      </w:r>
    </w:p>
    <w:p>
      <w:pPr>
        <w:spacing w:after="0" w:line="143"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the EMA and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w:t>
      </w:r>
    </w:p>
    <w:p>
      <w:pPr>
        <w:spacing w:after="0" w:line="14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We have no experience as a company in submitting and supporting the applications necessary to gain marketing approvals and may need to rely on third parties to assist us in this process. Securing regulatory approval requires the submission of extensive preclinical and clinical data and supporting information to the various regulatory authorities for each therapeutic indication to establish the product candidate’s safety and effectiveness.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20"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Of the large number of products in development, only a small percentage successfully complete the FDA, EMA or foreign regulatory approval processes and are commercialized. Even if our product candidates demonstrate safety and efficacy in clinical trials, the regulatory agencies may not complete their review processes in a timely manner, or we may not be able to obtain regulatory approval. Additional delays may result if an FDA Advisory Committee or other regulatory authority recommends non-approval or restrictions on approval. Changes in marketing approval policies during the development period, changes in or the enactment of additional statutes or regulations, or changes in regulatory review for each submitted product application, may cause delays in the approval or rejection of an application. The FDA, the EMA and comparable foreign regulatory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If we experience delays in obtaining approval or if we fail to obtain approval of our product candidates, the commercial prospects for those product candidates may be harmed, and our ability to generate revenues will be materially impaired.</w:t>
      </w:r>
    </w:p>
    <w:p>
      <w:pPr>
        <w:spacing w:after="0" w:line="123" w:lineRule="exact"/>
        <w:rPr>
          <w:sz w:val="20"/>
          <w:szCs w:val="20"/>
          <w:color w:val="auto"/>
        </w:rPr>
      </w:pPr>
    </w:p>
    <w:p>
      <w:pPr>
        <w:ind w:firstLine="449"/>
        <w:spacing w:after="0" w:line="335" w:lineRule="auto"/>
        <w:rPr>
          <w:sz w:val="20"/>
          <w:szCs w:val="20"/>
          <w:color w:val="auto"/>
        </w:rPr>
      </w:pPr>
      <w:r>
        <w:rPr>
          <w:rFonts w:ascii="Arial" w:cs="Arial" w:eastAsia="Arial" w:hAnsi="Arial"/>
          <w:sz w:val="15"/>
          <w:szCs w:val="15"/>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spacing w:after="0" w:line="88" w:lineRule="exact"/>
        <w:rPr>
          <w:sz w:val="20"/>
          <w:szCs w:val="20"/>
          <w:color w:val="auto"/>
        </w:rPr>
      </w:pPr>
    </w:p>
    <w:p>
      <w:pPr>
        <w:ind w:right="420" w:firstLine="449"/>
        <w:spacing w:after="0" w:line="306" w:lineRule="auto"/>
        <w:rPr>
          <w:sz w:val="20"/>
          <w:szCs w:val="20"/>
          <w:color w:val="auto"/>
        </w:rPr>
      </w:pPr>
      <w:r>
        <w:rPr>
          <w:rFonts w:ascii="Arial" w:cs="Arial" w:eastAsia="Arial" w:hAnsi="Arial"/>
          <w:sz w:val="16"/>
          <w:szCs w:val="16"/>
          <w:color w:val="auto"/>
        </w:rPr>
        <w:t>Clinical trial failure may result from a multitude of factors including flaws in trial design, dose selection, patient enrollment criteria and failure to demonstrate favorable safety or efficacy traits, and failure in clinical trials can occur at any stage. Companies in the drug development industry frequently suffer setbacks in the advancement of clinical trials due to lack of efficacy or adverse safety profiles, notwithstanding promising results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earlier trials. Based upon negative or inconclusive results, we may decide, or regulators may require us, to conduct additional clinical trials or preclinical studies. In addition, data obtained from clinical trials is susceptible to varying interpretations, and regulators may not interpret our data as favorably as we do, which may further delay, limit or prevent marketing approval.</w:t>
      </w:r>
    </w:p>
    <w:p>
      <w:pPr>
        <w:spacing w:after="0" w:line="140"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The FDA or any foreign regulatory authority could delay, limit or deny approval of a product candidate for many reasons, including because the FDA or such other regulatory authority:</w:t>
      </w:r>
    </w:p>
    <w:p>
      <w:pPr>
        <w:spacing w:after="0" w:line="172" w:lineRule="exact"/>
        <w:rPr>
          <w:sz w:val="20"/>
          <w:szCs w:val="20"/>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disagree with the design or implementation of our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deem a product candidate to be safe or effective for its intended uses;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211" w:lineRule="exact"/>
        <w:rPr>
          <w:rFonts w:ascii="Arial" w:cs="Arial" w:eastAsia="Arial" w:hAnsi="Arial"/>
          <w:sz w:val="18"/>
          <w:szCs w:val="18"/>
          <w:color w:val="auto"/>
        </w:rPr>
      </w:pPr>
    </w:p>
    <w:p>
      <w:pPr>
        <w:ind w:left="880" w:right="20" w:hanging="427"/>
        <w:spacing w:after="0" w:line="331"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27" w:lineRule="exact"/>
        <w:rPr>
          <w:rFonts w:ascii="Arial" w:cs="Arial" w:eastAsia="Arial" w:hAnsi="Arial"/>
          <w:sz w:val="16"/>
          <w:szCs w:val="16"/>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211" w:lineRule="exact"/>
        <w:rPr>
          <w:rFonts w:ascii="Arial" w:cs="Arial" w:eastAsia="Arial" w:hAnsi="Arial"/>
          <w:sz w:val="18"/>
          <w:szCs w:val="18"/>
          <w:color w:val="auto"/>
        </w:rPr>
      </w:pPr>
    </w:p>
    <w:p>
      <w:pPr>
        <w:ind w:left="880" w:right="80" w:hanging="427"/>
        <w:spacing w:after="0" w:line="268"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determine that the population studied in the clinical trial may not be sufficiently broad or representative to assure safety in the full population for which we seek approval;</w:t>
      </w:r>
    </w:p>
    <w:p>
      <w:pPr>
        <w:spacing w:after="0" w:line="172" w:lineRule="exact"/>
        <w:rPr>
          <w:rFonts w:ascii="Arial" w:cs="Arial" w:eastAsia="Arial" w:hAnsi="Arial"/>
          <w:sz w:val="18"/>
          <w:szCs w:val="18"/>
          <w:color w:val="auto"/>
        </w:rPr>
      </w:pPr>
    </w:p>
    <w:p>
      <w:pPr>
        <w:ind w:left="880" w:right="340" w:hanging="427"/>
        <w:spacing w:after="0" w:line="268"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accept clinical data from trials that are conducted at clinical facilities or in countries where the standard of care is potentially different from that of the United States;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specifications;</w:t>
      </w:r>
    </w:p>
    <w:p>
      <w:pPr>
        <w:spacing w:after="0" w:line="211" w:lineRule="exact"/>
        <w:rPr>
          <w:rFonts w:ascii="Arial" w:cs="Arial" w:eastAsia="Arial" w:hAnsi="Arial"/>
          <w:sz w:val="18"/>
          <w:szCs w:val="18"/>
          <w:color w:val="auto"/>
        </w:rPr>
      </w:pPr>
    </w:p>
    <w:p>
      <w:pPr>
        <w:ind w:left="880" w:right="40" w:hanging="427"/>
        <w:spacing w:after="0" w:line="268"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a product candidate or may determine that a manufacturing facility does not have an acceptable compliance status;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Even if we eventually complete clinical testing and receive approval of an NDA or foreign marketing application for any product candidates, the FDA, EMA or applicable foreign regulatory authority may grant approval or other marketing authorization contingent on the performance of costly additional clinical trials, including post-market clinical trials. For example, we expect that the FDA will require a post-marketing confirmatory trial of PGN-EDO51, if it is approved under the accelerated approval regulations requiring applicants to demonstrate clinical benefit in post-approval studies. The FDA, EMA or the applicable foreign regulatory authority also may approve or authorize for marketing a product candidate for a more limited indication or patient population that we originally request, and the FDA, EMA or applicable foreign regulatory authority may not approve or authorize the labeling that we believe is necessary or desirable for the successful commercialization of a product candidate. Any of these restrictions or commitments could render an approved product not commercially viable, which would materially adversely impact our business and prospects.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b w:val="1"/>
          <w:bCs w:val="1"/>
          <w:i w:val="1"/>
          <w:iCs w:val="1"/>
          <w:color w:val="auto"/>
        </w:rPr>
        <w:t>Obtaining and maintaining marketing approval or commercialization of our product candidates in the United States does not mean that we will be successful in obtaining marketing approval of our product candidates in other jurisdictions. Failure to obtain marketing approval in foreign jurisdictions would prevent our product candidates from being marketed in such jurisdictions, which, in turn, would materially impair our ability to generate revenue.</w:t>
      </w:r>
    </w:p>
    <w:p>
      <w:pPr>
        <w:spacing w:after="0" w:line="88"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order to market and sell our product candidates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the EMA or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19"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the European Union entered into a Trade and Cooperation Agreement. The agreement sets out certain procedures for approval and recognition of medical products in each jurisdiction.</w:t>
      </w:r>
    </w:p>
    <w:p>
      <w:pPr>
        <w:spacing w:after="0" w:line="147"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Any delay in obtaining, or an inability to obtain, any marketing approvals, as a result of the Trade and Cooperation Agreement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the European Union for our product candidates, which could significantly and materially harm our business.</w:t>
      </w:r>
    </w:p>
    <w:p>
      <w:pPr>
        <w:spacing w:after="0" w:line="11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We may seek one or more designations or expedited programs for one or more of our product candidates, but we might not receive such designations or be allowed to proceed on expedited program pathways, and even if we do and proceed on such expedited program pathways in the future, such designations or expedited programs may not lead to a faster development or regulatory review or approval process, and each designation does not increase the likelihood that any of our product candidates will receive marketing approval in the United States.</w:t>
      </w:r>
    </w:p>
    <w:p>
      <w:pPr>
        <w:spacing w:after="0" w:line="112"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may seek fast track designation for some of our product candidates. If a drug is intended for the treatment of a serious or life-threatening condition and nonclinical or clinical data for the drug demonstrates the potential to address an unmet medical need for such a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23"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If the sponsor fails to conduct such studies in a timely manner, or if such post-approval studies fail to verify the drug’s predicted clinical benefit, the FDA may withdraw its approval of the drug on an expedited basis.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There can be no assurance that FDA would allow any of the product candidates we may develop to proceed on an accelerated approval pathway,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w:t>
      </w:r>
    </w:p>
    <w:p>
      <w:pPr>
        <w:spacing w:after="0" w:line="13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approval compared to conventional FDA procedures. Receiving priority review from the FDA does not guarantee approval within the six-month review cycle or at all.</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may pursue orphan drug designation for certain of our product candidates, and we may not be able to obtain such designation, or obtain or maintain the benefits of such designation including orphan drug exclusivity, and even if we do, that exclusivity may not prevent regulatory authorities from approving other competing products.</w:t>
      </w:r>
    </w:p>
    <w:p>
      <w:pPr>
        <w:spacing w:after="0" w:line="14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may seek orphan drug designation for some of our product candidates; however, we may never receive such designations. Under the Orphan Drug Act, the FDA may designate a product as an orphan drug if it is a drug or biologic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an NDA. A similar regulatory scheme governs orphan products in the European Union.</w:t>
      </w:r>
    </w:p>
    <w:p>
      <w:pPr>
        <w:spacing w:after="0" w:line="115"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In addition, if a product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product for the same therapeutic indication for that seven years.</w:t>
      </w:r>
    </w:p>
    <w:p>
      <w:pPr>
        <w:spacing w:after="0" w:line="115"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products can be approved for the same condition.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determines that the request for designation was materially defective or if the manufacturer is unable to assure sufficient quantity of the product to meet the needs of the patients with the rare disease or condition. Further, even if we obtain orphan drug designation, we may not be the first to obtain marketing approval for any particular orphan indication due to the uncertainties associated with developing pharmaceutical products.</w:t>
      </w:r>
    </w:p>
    <w:p>
      <w:pPr>
        <w:spacing w:after="0" w:line="118"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40"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9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FDA, the EMA or a comparable foreign regulatory authority may not approve any of our product candidates derived from our platform. However, if the FDA, EMA or comparable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conformance with applicable product tracking and tracing requirements,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56" w:lineRule="exact"/>
        <w:rPr>
          <w:sz w:val="20"/>
          <w:szCs w:val="20"/>
          <w:color w:val="auto"/>
        </w:rPr>
      </w:pPr>
    </w:p>
    <w:p>
      <w:pPr>
        <w:ind w:left="880" w:right="420" w:hanging="427"/>
        <w:spacing w:after="0" w:line="268"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distribution or use, or requirements to conduct post-marketing studies or clinical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211" w:lineRule="exact"/>
        <w:rPr>
          <w:rFonts w:ascii="Arial" w:cs="Arial" w:eastAsia="Arial" w:hAnsi="Arial"/>
          <w:sz w:val="18"/>
          <w:szCs w:val="18"/>
          <w:color w:val="auto"/>
        </w:rPr>
      </w:pPr>
    </w:p>
    <w:p>
      <w:pPr>
        <w:ind w:left="880" w:right="800" w:hanging="427"/>
        <w:spacing w:after="0" w:line="268"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the EMA or comparable foreign regulatory authorities to approve pending applications or supplements to approved applications filed by us;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71"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32"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In addition, the FDA’s, EMU’s and other foreign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1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restrictions, such as the laws and regulations prohibiting the promotion of off-label uses, or may need to be withdrawn from the market, and we may be subject to substantial penalties if we fail to comply with regulatory requirements or if we experience unanticipated problems with our medicines, when and if any of them are approved.</w:t>
      </w:r>
    </w:p>
    <w:p>
      <w:pPr>
        <w:spacing w:after="0" w:line="10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FDA, EMA and other foreign regulatory authorities closely regulate the post-approval marketing and promotion of medicines to ensure that they are marketed only for the approved indications and in accordance with the provisions of the approved labeling. The FDA, EMA and other foreign regulatory authorities impose stringent restrictions on manufacturers’ communications regarding off-label use. In particular, a product may not be promoted for uses that are not approved by the FDA, EMA and other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enforcement action for off-label marketing by the FDA and other federal and state enforcement agencies, including the Department of Justice. Violation of the Federal Food, Drug, and Cosmetic Act and other statutes, including the False Claims Act, relating to the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government has also required companies to enter into consent decrees and/or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44" w:lineRule="exact"/>
        <w:rPr>
          <w:sz w:val="20"/>
          <w:szCs w:val="20"/>
          <w:color w:val="auto"/>
        </w:rPr>
      </w:pPr>
    </w:p>
    <w:p>
      <w:pPr>
        <w:ind w:right="180" w:firstLine="449"/>
        <w:spacing w:after="0" w:line="268"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results, including:</w:t>
      </w:r>
    </w:p>
    <w:p>
      <w:pPr>
        <w:spacing w:after="0" w:line="172" w:lineRule="exact"/>
        <w:rPr>
          <w:sz w:val="20"/>
          <w:szCs w:val="20"/>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7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140" w:lineRule="exact"/>
        <w:rPr>
          <w:sz w:val="20"/>
          <w:szCs w:val="20"/>
          <w:color w:val="auto"/>
        </w:rPr>
      </w:pPr>
    </w:p>
    <w:p>
      <w:pPr>
        <w:ind w:right="280" w:firstLine="449"/>
        <w:spacing w:after="0" w:line="256" w:lineRule="auto"/>
        <w:rPr>
          <w:sz w:val="20"/>
          <w:szCs w:val="20"/>
          <w:color w:val="auto"/>
        </w:rPr>
      </w:pPr>
      <w:r>
        <w:rPr>
          <w:rFonts w:ascii="Arial" w:cs="Arial" w:eastAsia="Arial" w:hAnsi="Arial"/>
          <w:sz w:val="18"/>
          <w:szCs w:val="18"/>
          <w:color w:val="auto"/>
        </w:rPr>
        <w:t>Additionally, if any of our product candidates receive marketing approval, the FDA could require us to adopt a REMS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our product candidate, several potentially significant negative consequences could result, including:</w:t>
      </w:r>
    </w:p>
    <w:p>
      <w:pPr>
        <w:spacing w:after="0" w:line="183" w:lineRule="exact"/>
        <w:rPr>
          <w:sz w:val="20"/>
          <w:szCs w:val="20"/>
          <w:color w:val="auto"/>
        </w:rPr>
      </w:pPr>
    </w:p>
    <w:p>
      <w:pPr>
        <w:ind w:left="5540" w:right="4320" w:hanging="5087"/>
        <w:spacing w:after="0" w:line="440" w:lineRule="auto"/>
        <w:tabs>
          <w:tab w:leader="none" w:pos="8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 41</w:t>
      </w:r>
    </w:p>
    <w:p>
      <w:pPr>
        <w:sectPr>
          <w:pgSz w:w="11900" w:h="16838" w:orient="portrait"/>
          <w:cols w:equalWidth="0" w:num="1">
            <w:col w:w="11200"/>
          </w:cols>
          <w:pgMar w:left="32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The manufacturing facilities on which we rely may not continue to meet regulatory requirements, which could materially harm our business.</w:t>
      </w:r>
    </w:p>
    <w:p>
      <w:pPr>
        <w:spacing w:after="0" w:line="132" w:lineRule="exact"/>
        <w:rPr>
          <w:sz w:val="20"/>
          <w:szCs w:val="20"/>
          <w:color w:val="auto"/>
        </w:rPr>
      </w:pPr>
    </w:p>
    <w:p>
      <w:pPr>
        <w:ind w:right="100" w:firstLine="449"/>
        <w:spacing w:after="0" w:line="307" w:lineRule="auto"/>
        <w:rPr>
          <w:sz w:val="20"/>
          <w:szCs w:val="20"/>
          <w:color w:val="auto"/>
        </w:rPr>
      </w:pPr>
      <w:r>
        <w:rPr>
          <w:rFonts w:ascii="Arial" w:cs="Arial" w:eastAsia="Arial" w:hAnsi="Arial"/>
          <w:sz w:val="15"/>
          <w:szCs w:val="15"/>
          <w:color w:val="auto"/>
        </w:rPr>
        <w:t>All entities involved in the preparation of product candidates for clinical trials or commercial sale, including any contract manufacturers, are subject to extensive regulation. Components of a finished therapeutic product approved for commercial sale or used in late-stage clinical trials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an NDA on a timely basis and must adhere to the FDA’s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1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regulatory authorities also may, at any time following approval of a product for sale, audit any of our future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44" w:lineRule="exact"/>
        <w:rPr>
          <w:sz w:val="20"/>
          <w:szCs w:val="20"/>
          <w:color w:val="auto"/>
        </w:rPr>
      </w:pPr>
    </w:p>
    <w:p>
      <w:pPr>
        <w:jc w:val="both"/>
        <w:ind w:right="220" w:firstLine="449"/>
        <w:spacing w:after="0" w:line="259"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significant costs.</w:t>
      </w:r>
    </w:p>
    <w:p>
      <w:pPr>
        <w:spacing w:after="0" w:line="13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Our operations also produce hazardous waste. We generally contract with third parties for the disposal</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also could incur significant costs associated with civil or criminal fines and penalties.</w:t>
      </w:r>
    </w:p>
    <w:p>
      <w:pPr>
        <w:spacing w:after="0" w:line="143"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1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in turn have a material adverse effect on our business, financial condition, results of operations and prospects.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the political environment and changes that may be made to regulatory regimes.</w:t>
      </w:r>
    </w:p>
    <w:p>
      <w:pPr>
        <w:spacing w:after="0" w:line="171"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The Trump Administration previously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unclear whether the Biden Administration will work to reverse these measures or pursue similar policy initiatives. If these executive actions remain in force and impose constraints on the FDA’s ability to engage in oversight and implementation activities in the normal course, our business may be negatively impacted.</w:t>
      </w:r>
    </w:p>
    <w:p>
      <w:pPr>
        <w:spacing w:after="0" w:line="11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4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licensed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Additionally, on April 15,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be appropriate. In May 2021, the FDA announced plans to continue progress toward resuming standard operational levels.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a marketing application until an inspection can be completed. In 2020 and 2021, a number of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33"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1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4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40" w:lineRule="exact"/>
        <w:rPr>
          <w:sz w:val="20"/>
          <w:szCs w:val="20"/>
          <w:color w:val="auto"/>
        </w:rPr>
      </w:pPr>
    </w:p>
    <w:p>
      <w:pPr>
        <w:ind w:right="260" w:firstLine="449"/>
        <w:spacing w:after="0" w:line="254"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that we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research, market, sell and distribute our medicines for which we obtain marketing approval. Restrictions under applicable federal and state healthcare laws and regulations include the following:</w:t>
      </w:r>
    </w:p>
    <w:p>
      <w:pPr>
        <w:spacing w:after="0" w:line="187" w:lineRule="exact"/>
        <w:rPr>
          <w:sz w:val="20"/>
          <w:szCs w:val="20"/>
          <w:color w:val="auto"/>
        </w:rPr>
      </w:pPr>
    </w:p>
    <w:p>
      <w:pPr>
        <w:ind w:left="880" w:hanging="427"/>
        <w:spacing w:after="0" w:line="25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healthcare anti-kickback statute,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lease, order, arrangement or recommendation of, any good, facility, item or service, for which payment may be made under federal and state healthcare programs such as Medicare and Medicaid.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w:t>
      </w:r>
    </w:p>
    <w:p>
      <w:pPr>
        <w:spacing w:after="0" w:line="187" w:lineRule="exact"/>
        <w:rPr>
          <w:rFonts w:ascii="Arial" w:cs="Arial" w:eastAsia="Arial" w:hAnsi="Arial"/>
          <w:sz w:val="18"/>
          <w:szCs w:val="18"/>
          <w:color w:val="auto"/>
        </w:rPr>
      </w:pPr>
    </w:p>
    <w:p>
      <w:pPr>
        <w:ind w:left="880" w:right="20" w:hanging="427"/>
        <w:spacing w:after="0" w:line="287"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federal False Claims Act, and civil monetary penalty laws which can be enforced through civil whistleblower or qui tam actions, impose civil and criminal penalties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 Manufacturers can be held liable under the federal False Claims Act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federal False Claims Act or federal civil money penalties. The federal False Claims Act also permits a private individual acting as a “whistleblower” to bring actions on behalf of the federal government alleging violations of the federal False Claims Act and to share in any monetary recovery;</w:t>
      </w:r>
    </w:p>
    <w:p>
      <w:pPr>
        <w:spacing w:after="0" w:line="162" w:lineRule="exact"/>
        <w:rPr>
          <w:rFonts w:ascii="Arial" w:cs="Arial" w:eastAsia="Arial" w:hAnsi="Arial"/>
          <w:sz w:val="16"/>
          <w:szCs w:val="16"/>
          <w:color w:val="auto"/>
        </w:rPr>
      </w:pPr>
    </w:p>
    <w:p>
      <w:pPr>
        <w:ind w:left="880" w:right="20" w:hanging="427"/>
        <w:spacing w:after="0" w:line="312" w:lineRule="auto"/>
        <w:tabs>
          <w:tab w:leader="none" w:pos="8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20" w:hanging="427"/>
        <w:spacing w:after="0" w:line="290"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(currently defined to include doctors, dentists, optometrists, podiatrists and chiropractors) as well as teaching hospitals. Manufacturers are also required to disclose ownership and investment interests held by physicians and their immediate family members. Effective January 1, 2022, these reporting obligations will extend to include transfers of value made during the previous year to certain non-physician providers, including nurse practitioners, certified nurse anesthetists, physician assistants, clinical nurse specialists, anesthesiology assistants and certified nurse midwives;</w:t>
      </w:r>
    </w:p>
    <w:p>
      <w:pPr>
        <w:spacing w:after="0" w:line="158" w:lineRule="exact"/>
        <w:rPr>
          <w:rFonts w:ascii="Arial" w:cs="Arial" w:eastAsia="Arial" w:hAnsi="Arial"/>
          <w:sz w:val="16"/>
          <w:szCs w:val="16"/>
          <w:color w:val="auto"/>
        </w:rPr>
      </w:pPr>
    </w:p>
    <w:p>
      <w:pPr>
        <w:ind w:left="880" w:right="340" w:hanging="427"/>
        <w:spacing w:after="0" w:line="268"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172" w:lineRule="exact"/>
        <w:rPr>
          <w:rFonts w:ascii="Arial" w:cs="Arial" w:eastAsia="Arial" w:hAnsi="Arial"/>
          <w:sz w:val="18"/>
          <w:szCs w:val="18"/>
          <w:color w:val="auto"/>
        </w:rPr>
      </w:pPr>
    </w:p>
    <w:p>
      <w:pPr>
        <w:ind w:left="880" w:right="600" w:hanging="427"/>
        <w:spacing w:after="0" w:line="268"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customers.</w:t>
      </w:r>
    </w:p>
    <w:p>
      <w:pPr>
        <w:spacing w:after="0" w:line="132" w:lineRule="exact"/>
        <w:rPr>
          <w:sz w:val="20"/>
          <w:szCs w:val="20"/>
          <w:color w:val="auto"/>
        </w:rPr>
      </w:pPr>
    </w:p>
    <w:p>
      <w:pPr>
        <w:ind w:right="260" w:firstLine="449"/>
        <w:spacing w:after="0" w:line="288" w:lineRule="auto"/>
        <w:rPr>
          <w:sz w:val="20"/>
          <w:szCs w:val="20"/>
          <w:color w:val="auto"/>
        </w:rPr>
      </w:pPr>
      <w:r>
        <w:rPr>
          <w:rFonts w:ascii="Arial" w:cs="Arial" w:eastAsia="Arial" w:hAnsi="Arial"/>
          <w:sz w:val="16"/>
          <w:szCs w:val="16"/>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12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European Union. The provision of benefits or advantages to induce or reward improper performance generally is typically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1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47"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individual imprisonment. If any of the above occur, our ability to operate our business and our results of operations could be adversely affected.</w:t>
      </w:r>
    </w:p>
    <w:p>
      <w:pPr>
        <w:spacing w:after="0" w:line="122" w:lineRule="exact"/>
        <w:rPr>
          <w:sz w:val="20"/>
          <w:szCs w:val="20"/>
          <w:color w:val="auto"/>
        </w:rPr>
      </w:pPr>
    </w:p>
    <w:p>
      <w:pPr>
        <w:spacing w:after="0" w:line="331" w:lineRule="auto"/>
        <w:rPr>
          <w:sz w:val="20"/>
          <w:szCs w:val="20"/>
          <w:color w:val="auto"/>
        </w:rPr>
      </w:pPr>
      <w:r>
        <w:rPr>
          <w:rFonts w:ascii="Arial" w:cs="Arial" w:eastAsia="Arial" w:hAnsi="Arial"/>
          <w:sz w:val="16"/>
          <w:szCs w:val="16"/>
          <w:b w:val="1"/>
          <w:bCs w:val="1"/>
          <w:i w:val="1"/>
          <w:iCs w:val="1"/>
          <w:color w:val="auto"/>
        </w:rPr>
        <w:t>Healthcare legislative reform discourse and potential or enacted measures may increase the difficulty and cost for us and any future collaborators to obtain marketing approval of and commercialize our product candidates and affect the prices we, or they, may obtain.</w:t>
      </w:r>
    </w:p>
    <w:p>
      <w:pPr>
        <w:spacing w:after="0" w:line="87"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of 2010, or collectively, the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3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Since enactment of the ACA, there have been numerous executive and legal challenges and Congressional actions to repeal and replace provisions of the law.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other legislative changes have been proposed and adopted since the ACA was enacted:</w:t>
      </w:r>
    </w:p>
    <w:p>
      <w:pPr>
        <w:spacing w:after="0" w:line="212" w:lineRule="exact"/>
        <w:rPr>
          <w:sz w:val="20"/>
          <w:szCs w:val="20"/>
          <w:color w:val="auto"/>
        </w:rPr>
      </w:pPr>
    </w:p>
    <w:p>
      <w:pPr>
        <w:ind w:left="880" w:right="40" w:hanging="427"/>
        <w:spacing w:after="0" w:line="25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December 31, 2021, unless additional Congressional action is taken.</w:t>
      </w:r>
    </w:p>
    <w:p>
      <w:pPr>
        <w:spacing w:after="0" w:line="183" w:lineRule="exact"/>
        <w:rPr>
          <w:rFonts w:ascii="Arial" w:cs="Arial" w:eastAsia="Arial" w:hAnsi="Arial"/>
          <w:sz w:val="18"/>
          <w:szCs w:val="18"/>
          <w:color w:val="auto"/>
        </w:rPr>
      </w:pPr>
    </w:p>
    <w:p>
      <w:pPr>
        <w:ind w:left="880" w:right="20" w:hanging="427"/>
        <w:spacing w:after="0" w:line="323" w:lineRule="auto"/>
        <w:tabs>
          <w:tab w:leader="none" w:pos="8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In January 2013, the American Taxpayer Relief Act of 2012 became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37" w:lineRule="exact"/>
        <w:rPr>
          <w:rFonts w:ascii="Arial" w:cs="Arial" w:eastAsia="Arial" w:hAnsi="Arial"/>
          <w:sz w:val="15"/>
          <w:szCs w:val="15"/>
          <w:color w:val="auto"/>
        </w:rPr>
      </w:pPr>
    </w:p>
    <w:p>
      <w:pPr>
        <w:ind w:left="880" w:right="280" w:hanging="427"/>
        <w:spacing w:after="0" w:line="268"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spacing w:after="0" w:line="172" w:lineRule="exact"/>
        <w:rPr>
          <w:rFonts w:ascii="Arial" w:cs="Arial" w:eastAsia="Arial" w:hAnsi="Arial"/>
          <w:sz w:val="18"/>
          <w:szCs w:val="18"/>
          <w:color w:val="auto"/>
        </w:rPr>
      </w:pPr>
    </w:p>
    <w:p>
      <w:pPr>
        <w:ind w:left="880" w:right="340" w:hanging="427"/>
        <w:spacing w:after="0" w:line="259"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gave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80" w:lineRule="exact"/>
        <w:rPr>
          <w:rFonts w:ascii="Arial" w:cs="Arial" w:eastAsia="Arial" w:hAnsi="Arial"/>
          <w:sz w:val="18"/>
          <w:szCs w:val="18"/>
          <w:color w:val="auto"/>
        </w:rPr>
      </w:pPr>
    </w:p>
    <w:p>
      <w:pPr>
        <w:ind w:left="880" w:right="40" w:hanging="427"/>
        <w:spacing w:after="0" w:line="254"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7" w:lineRule="exact"/>
        <w:rPr>
          <w:rFonts w:ascii="Arial" w:cs="Arial" w:eastAsia="Arial" w:hAnsi="Arial"/>
          <w:sz w:val="18"/>
          <w:szCs w:val="18"/>
          <w:color w:val="auto"/>
        </w:rPr>
      </w:pPr>
    </w:p>
    <w:p>
      <w:pPr>
        <w:ind w:left="880" w:right="400" w:hanging="427"/>
        <w:spacing w:after="0" w:line="268"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132"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12"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our products.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products. It is not clear how other future potential changes to the ACA will change the reimbursement model and market outlook for our current and future product candidates.</w:t>
      </w:r>
    </w:p>
    <w:p>
      <w:pPr>
        <w:spacing w:after="0" w:line="14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3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are exposed to the risk of fraud or other misconduct by our employees, consultants and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European Commission and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30" w:lineRule="exact"/>
        <w:rPr>
          <w:sz w:val="20"/>
          <w:szCs w:val="20"/>
          <w:color w:val="auto"/>
        </w:rPr>
      </w:pPr>
    </w:p>
    <w:p>
      <w:pPr>
        <w:ind w:right="420"/>
        <w:spacing w:after="0" w:line="331"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87"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140"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the provision of money or anything of value, directly or indirectly through parties, to any foreign official, official of a public international organization, or political party official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Securities and Exchange Commission, or SEC, is involved with enforcement of the books and records provisions of the FCPA.</w:t>
      </w:r>
    </w:p>
    <w:p>
      <w:pPr>
        <w:spacing w:after="0" w:line="118"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Compliance with the FCPA and other anti-corruption laws potentially applicable to our business is expensive and difficult, particularly in countries in which corruption is a recognized problem. In addition,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compliance with the FCPA and other anti-corruption laws presents particular challenges in the pharmaceutical industry, because, in many countries, hospitals are operated by the government, and doctors and other hospital employees are considered foreign officials.</w:t>
      </w:r>
    </w:p>
    <w:p>
      <w:pPr>
        <w:spacing w:after="0" w:line="132"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Various U.S. export and sanctions laws, regulations and executive orders also restrict the use and dissemination outside of the United States, or the sharing with certain non-U.S. nationals, of certain products and technical data relating to those products. Furthermore, such export and sanctions laws include restrictions or prohibitions on the sale or supply of certain products and services to United States embargoed countries or sanctioned countries, governments, persons and entities.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and export and sanctions laws can result in significant civil and criminal penalties, imprisonment, the loss of export or import privileges, debarment, breach of contract and fraud litigation, reputational harm, and other consequences.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30" w:lineRule="exact"/>
        <w:rPr>
          <w:sz w:val="20"/>
          <w:szCs w:val="20"/>
          <w:color w:val="auto"/>
        </w:rPr>
      </w:pPr>
    </w:p>
    <w:p>
      <w:pPr>
        <w:ind w:right="60"/>
        <w:spacing w:after="0" w:line="369" w:lineRule="auto"/>
        <w:rPr>
          <w:sz w:val="20"/>
          <w:szCs w:val="20"/>
          <w:color w:val="auto"/>
        </w:rPr>
      </w:pPr>
      <w:r>
        <w:rPr>
          <w:rFonts w:ascii="Arial" w:cs="Arial" w:eastAsia="Arial" w:hAnsi="Arial"/>
          <w:sz w:val="15"/>
          <w:szCs w:val="15"/>
          <w:b w:val="1"/>
          <w:bCs w:val="1"/>
          <w:i w:val="1"/>
          <w:iCs w:val="1"/>
          <w:color w:val="auto"/>
        </w:rPr>
        <w:t>We are subject to stringent data protection, privacy, and security laws, regulations, standards and contractual obligations and actual or perceived failure to comply with such requirements could have a material adverse effect on our business, financial condition, results of operations or prospects.</w:t>
      </w:r>
    </w:p>
    <w:p>
      <w:pPr>
        <w:spacing w:after="0" w:line="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are subject to data privacy and protection laws, regulations, policies, standards and contractual obligations that impose certain requirements relating to the collection, transmission, storage and use of personal information. The legislative and regulatory landscape for data privacy and protection continues to evolve in jurisdictions worldwide, and there has been an increasing focus on privacy and data protection issues. Actual or perceived failure to comply with laws and regulations governing personal information could result in government investigations and enforcement actions against us, fines, claims for damages by affected third parties, damage to our reputation and loss of goodwill, any of which could have a material adverse effect on our business, financial condition, results of operations or prospects.</w:t>
      </w:r>
    </w:p>
    <w:p>
      <w:pPr>
        <w:spacing w:after="0" w:line="144"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personal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including personal health data, of individuals in the European Economic Area, or EEA, is subject to the European Union General Data Protection Regulation (EU) 2016/679, or the GDPR as well as national data protection laws in effect in the member states of the EU. The GDPR went into effect in May 2018, and is wide-ranging in scope. It imposes numerous requirements on companies that process personal data, including requirements relating to processing health and other sensitive data, obtaining consent of the individuals to whom the personal data relates, establishing a legal basis for processing, providing information to individuals regarding data processing activities, implementing safeguards to protect the security and confidentiality of personal data that requires the adoption of administrative, physical and technical safeguards to protect such information, providing notification of data breaches to appropriate data protection authorities or data subjects, establishing means for data subjects to exercise rights in relation to their personal data and taking certain measures when engaging third-party processors. The GDPR increases our obligations with respect to clinical trials conducted in the EEA by expanding the definition of personal data to include coded data and requiring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changes to informed consent practices and more detailed notices for clinical trial subjects and investigators. In addition, the GDPR confers a private right of action on data subjects and consumer associations to lodge complaints with supervisory authorities, seek judicial remedies, and obtain compensation for damages resulting from violations of the GDPR. It also provides that EEA member states may make their own laws and regulations limiting the processing of personal data, including genetic, biometric or health data. Noncompliant companies face significant fines, which can be up to four percent of global revenues or 20 million Euros, whichever is greater.</w:t>
      </w:r>
    </w:p>
    <w:p>
      <w:pPr>
        <w:spacing w:after="0" w:line="147"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In addition, the GDPR also imposes strict rules on the transfer of personal data to countries outside the European Union, including the United States and, as a result, increases the scrutiny for transfers of personal data from clinical trial sites located in the EEA to the United States. Switzerland has adopted similar restrictions. Although there are legal mechanisms to allow for the transfer of personal data from the United Kingdom, EEA and Switzerland to the United States, the efficacy and longevity of current transfer mechanisms remains uncertain and such mechanisms may not be available or applicable with respect to the personal data processing activities necessary to research, develop and market the product candidates that we develop.</w:t>
      </w:r>
    </w:p>
    <w:p>
      <w:pPr>
        <w:spacing w:after="0" w:line="115"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For example, on July 16, 2020, the Court of Justice of the European Union, or CJEU, invalidated EU-U.S. Privacy Shield. Following this decision, the Swiss Federal Data Protection and Information Commissioner, or the FDPIC, also announced that the Swiss-U.S. Privacy Shield does not provide adequate safeguards for the purposes of personal data transfers from Switzerland to the United States. While the FDPIC does not have authority to invalidate the Swiss-U.S. Privacy Shield regime, the FDPIC’s announcement casts doubt on the viability of the Swiss-U.S. Privacy Shield as a future compliance mechanism for Swiss-U.S. data transfers. The CJEU’s invalidation of the EU-U.S. Privacy Shield also raised questions about whether one of the primary alternatives to the EU-U.S. Privacy Shield, namely, the European Commission’s Standard Contractual Clauses, or SCCs, can lawfully be used for personal data transfers from Europe to the United States or other third countries that are not the subject of an adequacy decision of the European Commission.</w:t>
      </w:r>
    </w:p>
    <w:p>
      <w:pPr>
        <w:spacing w:after="0" w:line="118"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While the CJEU upheld the adequacy of the SCCs, it made clear that reliance on the SCCs alone may not necessarily be sufficient in all circumstances. Use of the SCCs must now be assessed on a case-by-case basis, taking into account the legal regime applicable in the destination country and considering whether supplementary measures that provide privacy protections additional to those provided under SCCs will need to be implemented to ensure an essentially equivalent level of data protection to that afforded in the EEA.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upon for data transfers to non-EEA entities subject to the GDPR. At present, there are few, if any, viable alternatives to the EU-U.S. Privacy Shield and the SSCs. If we are unable to implement a valid solution for personal data transfers from the EEA, United Kingdom or Switzerland, including, for example, obtaining individuals’ explicit consent to transfer their personal data from the EEA, United Kingdom, and Switzerland to the United States or other countries, we will face increased exposure to regulatory actions, substantial fines and injunctions against processing personal data in those jurisdictions. Inability to import personal data from the EEA, United Kingdom or Switzerland may also restrict our clinical trials activities in those jurisdictions; limit our ability to collaborate with contract research organizations as well as other service providers, contractors and other companies subject to data protection laws in those jurisdictions; and require us to increase our data processing capabilities in those jurisdictions at significant expense. Additionally, other countries outside of the EEA, United Kingdom, and Switzerland have enacted or are considering enacting similar cross-border data transfer restrictions and laws requiring local data residency, which could increase the cost and complexity of delivering our services and operating our business.</w:t>
      </w:r>
    </w:p>
    <w:p>
      <w:pPr>
        <w:spacing w:after="0" w:line="122"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Our operations in the UK also require us to comply with data protection requirements in effect in the United Kingdom. Following the United Kingdom’s withdrawal from the European Union and the expiration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transition period, from January 1, 2021, companies have had to comply with the GDPR and also the United Kingdom GDPR, or the UK GDPR, which, together with the amended UK Data Protection Act 2018, retains the GDPR in UK national law. The data protection obligations of the GDPR continue to apply to United Kingdom-related processing of personal data in substantially unvaried form under the UK GDPR. The UK GDPR mirrors the fines under the GDPR, i.e., fines up to the greater of four percent of global revenues or 20 million Euros (17.5 million British Pounds). Going forward, there will be increasing scope for divergence in application, interpretation and enforcement of the data protection law as between the United Kingdom and EEA. Furthermore, the relationship between the United Kingdom and the EEA in relation to certain aspects of data protection law remains unclear. For example, it is still unclear whether the transfer of data from the EEA to the United Kingdom will in the future remain lawful under the GDPR.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or extends that decision.</w:t>
      </w:r>
    </w:p>
    <w:p>
      <w:pPr>
        <w:spacing w:after="0" w:line="119" w:lineRule="exact"/>
        <w:rPr>
          <w:sz w:val="20"/>
          <w:szCs w:val="20"/>
          <w:color w:val="auto"/>
        </w:rPr>
      </w:pPr>
    </w:p>
    <w:p>
      <w:pPr>
        <w:ind w:right="180" w:firstLine="449"/>
        <w:spacing w:after="0" w:line="288" w:lineRule="auto"/>
        <w:rPr>
          <w:sz w:val="20"/>
          <w:szCs w:val="20"/>
          <w:color w:val="auto"/>
        </w:rPr>
      </w:pPr>
      <w:r>
        <w:rPr>
          <w:rFonts w:ascii="Arial" w:cs="Arial" w:eastAsia="Arial" w:hAnsi="Arial"/>
          <w:sz w:val="16"/>
          <w:szCs w:val="16"/>
          <w:color w:val="auto"/>
        </w:rPr>
        <w:t>Following the expiry of the transitional arrangements agreed upon between the United Kingdom and European Union after the United Kingdom’s withdrawal, the United Kingdom Information Commissioner’s Office is not able to be our ‘lead supervisory authority’ in respect of any ‘cross border processing’ for the purposes of the GDPR. In the event that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United Kingdom and the EEA, we could be investigated by, and ultimately fined by the United Kingdom Information Commissioner’s Office and the supervisory authority in each and every EEA member state where data subjects have been affected by such violation. Other countries have also passed or are considering passing laws requiring local data residency and/or restricting the international transfer of data.</w:t>
      </w:r>
    </w:p>
    <w:p>
      <w:pPr>
        <w:spacing w:after="0" w:line="12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 GDPR and similar laws’ requirements are rigorous and time intensive and require significant resources and a review of our technologies, systems and practices, as well as those of any third-party collaborators, service providers, contractors or consultants that process or transfer personal data.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w:t>
      </w:r>
    </w:p>
    <w:p>
      <w:pPr>
        <w:spacing w:after="0" w:line="118"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Similar privacy and data security requirements are either in place or underway in the United States. There are numerous data protection laws that may be applicable to our activities, and a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or have been implemented at both the state and federal levels. For example, the California Consumer Privacy Act of 2018, or the CCPA, which became effective on January 1, 2020, requires companies that process information of California residents to make new disclosures to consumers about their data collection, use and sharing practices, provides Californian consumers (as defined under the CCPA) with new individual data privacy rights, imposes new operational requirements for covered businesses, provides a private right of action for data breaches and creates a statutory damages framework. Although there are limited exemptions for clinical trial data under the CCPA, the CCPA and other similar laws could impact our business activities depending on how such laws are interpreted. Additionally, effective starting on January 1, 2023, the California Privacy Rights Act, or the CPRA, will significantly modify the CCPA, including by expanding consumers’ rights with respect to certain sensitive personal information. The CPRA also creates a new state agency that will be vested with authority to implement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and enforce the CCPA and the CPRA. Many other states are considering similar legislation, and a broad range of legislative measures also have been introduced at the federal level.</w:t>
      </w:r>
    </w:p>
    <w:p>
      <w:pPr>
        <w:spacing w:after="0" w:line="13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Further, regulations promulgated pursuant to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HIPAA establishes privacy and security standards that limit the use and disclosure of individually identifiable health information and protected health information, or PHI, and requires the implementation of administrative, physical and technological safeguards to protect the privacy of PHI and ensure the confidentiality, integrity and availability of electronic PHI. Most healthcare providers, including research institutions from which we obtain patient health information, are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30"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Further, any failure by our third-party collaborators, service providers, contractors or consultants to comply with applicable law, regulations or contractual obligations related to data privacy or security could result in proceedings against us by governmental entities or others.</w:t>
      </w:r>
    </w:p>
    <w:p>
      <w:pPr>
        <w:spacing w:after="0" w:line="112"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We may also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do so. Despite our efforts, we may not be successful in achieving compliance if our employees or vendors fail to comply with our published policies and documentation. Such failures can subject us to potential international,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and could result in adverse publicity that could harm our business. We also face a threat of consumer class actions related to these laws and the overall protection of personal information. Even if we are not determined to have violated these laws, government investigations into these issues typically require the expenditure of significant resources and generate negative publicity, which could harm our reputation and our business, financial condition, results of operations or prospects.</w:t>
      </w:r>
    </w:p>
    <w:p>
      <w:pPr>
        <w:spacing w:after="0" w:line="119" w:lineRule="exact"/>
        <w:rPr>
          <w:sz w:val="20"/>
          <w:szCs w:val="20"/>
          <w:color w:val="auto"/>
        </w:rPr>
      </w:pPr>
    </w:p>
    <w:p>
      <w:pPr>
        <w:spacing w:after="0" w:line="369" w:lineRule="auto"/>
        <w:rPr>
          <w:sz w:val="20"/>
          <w:szCs w:val="20"/>
          <w:color w:val="auto"/>
        </w:rPr>
      </w:pPr>
      <w:r>
        <w:rPr>
          <w:rFonts w:ascii="Arial" w:cs="Arial" w:eastAsia="Arial" w:hAnsi="Arial"/>
          <w:sz w:val="15"/>
          <w:szCs w:val="15"/>
          <w:b w:val="1"/>
          <w:bCs w:val="1"/>
          <w:i w:val="1"/>
          <w:iCs w:val="1"/>
          <w:color w:val="auto"/>
        </w:rPr>
        <w:t>If any of our product candidates obtains regulatory approval and does not receive appropriate periods of non-patent exclusivity, competitors could enter the market with generic versions of such products more quickly than we expect, which may result in a material decline in sales of our products.</w:t>
      </w:r>
    </w:p>
    <w:p>
      <w:pPr>
        <w:spacing w:after="0" w:line="64" w:lineRule="exact"/>
        <w:rPr>
          <w:sz w:val="20"/>
          <w:szCs w:val="20"/>
          <w:color w:val="auto"/>
        </w:rPr>
      </w:pPr>
    </w:p>
    <w:p>
      <w:pPr>
        <w:ind w:right="380" w:firstLine="449"/>
        <w:spacing w:after="0" w:line="298" w:lineRule="auto"/>
        <w:rPr>
          <w:sz w:val="20"/>
          <w:szCs w:val="20"/>
          <w:color w:val="auto"/>
        </w:rPr>
      </w:pPr>
      <w:r>
        <w:rPr>
          <w:rFonts w:ascii="Arial" w:cs="Arial" w:eastAsia="Arial" w:hAnsi="Arial"/>
          <w:sz w:val="16"/>
          <w:szCs w:val="16"/>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A 505(b)(2) NDA product may be for a new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improved version of the original innovator product. The Hatch-Waxman Amendments also provide for certain periods of regulatory exclusivity, which preclude FDA approval (or in some circumstances, FDA filing and review) of an ANDA or 505(b)(2) NDA.</w:t>
      </w:r>
    </w:p>
    <w:p>
      <w:pPr>
        <w:spacing w:after="0" w:line="13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the United States, once an NDA is approved, the product covered thereby becomes a “reference listed drug” in the FDA’s publication, “</w:t>
      </w:r>
      <w:r>
        <w:rPr>
          <w:rFonts w:ascii="Arial" w:cs="Arial" w:eastAsia="Arial" w:hAnsi="Arial"/>
          <w:sz w:val="16"/>
          <w:szCs w:val="16"/>
          <w:i w:val="1"/>
          <w:iCs w:val="1"/>
          <w:color w:val="auto"/>
        </w:rPr>
        <w:t>Approved</w:t>
      </w:r>
      <w:r>
        <w:rPr>
          <w:rFonts w:ascii="Arial" w:cs="Arial" w:eastAsia="Arial" w:hAnsi="Arial"/>
          <w:sz w:val="16"/>
          <w:szCs w:val="16"/>
          <w:color w:val="auto"/>
        </w:rPr>
        <w:t xml:space="preserve"> </w:t>
      </w:r>
      <w:r>
        <w:rPr>
          <w:rFonts w:ascii="Arial" w:cs="Arial" w:eastAsia="Arial" w:hAnsi="Arial"/>
          <w:sz w:val="16"/>
          <w:szCs w:val="16"/>
          <w:i w:val="1"/>
          <w:iCs w:val="1"/>
          <w:color w:val="auto"/>
        </w:rPr>
        <w:t>Drug Products with Therapeutic Equivalence Evaluations</w:t>
      </w:r>
      <w:r>
        <w:rPr>
          <w:rFonts w:ascii="Arial" w:cs="Arial" w:eastAsia="Arial" w:hAnsi="Arial"/>
          <w:sz w:val="16"/>
          <w:szCs w:val="16"/>
          <w:color w:val="auto"/>
        </w:rPr>
        <w:t>,” or the Orange Book. Manufacturers may seek approval of generic versions of reference listed drugs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submission of abbreviated new drug applications, or ANDAs, in the United States. In support of an ANDA, a generic manufacturer generally must show that its product has the same active ingredient(s), dosage form, strength, route of administration, and adequate labeling as the reference listed drug and that the generic version is bioequivalent to the reference listed drug, meaning, in part, that it is absorbed in the body at the same rate and to the same extent. Generic products may be significantly less costly to bring to market than the reference listed drug and companies that produce generic products are generally able to offer them at lower prices. Moreover, many states allow or require substitution of therapeutically equivalent generic drugs at the pharmacy level even if the branded drug is prescribed. Thus, following the introduction of a generic drug, a significant percentage of the sales of any branded product or reference listed drug may be lost to the generic product.</w:t>
      </w:r>
    </w:p>
    <w:p>
      <w:pPr>
        <w:spacing w:after="0" w:line="119"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The FDA may not finally approve an ANDA for a generic product until any applicable period of non-patent exclusivity for the reference 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Specifically, in cases where such exclusivity has been granted, an ANDA may not be filed with the FDA until the expiration of five years unless the submission is accompanied by a patent certification that a patent covering the listed drug is invalid unenforceable or will not be infringed by the generic product. In that case, the applicant may submit its application four years following approval of the listed drug and seek to launch its generic product even if we still have patent protection for our product unless an infringement suit is timely filed by the NDA or patent holder in which case the FDA cannot approve the ANDA for 30 months unless a court decision in favor of the generic manufacturer is issued earlier.</w:t>
      </w:r>
    </w:p>
    <w:p>
      <w:pPr>
        <w:spacing w:after="0" w:line="119"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Three-year exclusivity is given to a drug if it contains an active moiety that has previously been approved, and the NDA includes reports of one or more new clinical investigations, other than bioavailability or bioequivalence studies, that were conducted by or for the applicant and are essential to the approval of the NDA. This form of data exclusivity is known as New Clinical Investigation, or NCI, exclusivity. If our product candidates are approved with only NCI exclusivity, generic manufacturers may file their ANDAs any time following approval of our product candidates and seek to launch their generic products following the expiration of the three year market exclusivity period, even if we still have patent protection for our product.</w:t>
      </w:r>
    </w:p>
    <w:p>
      <w:pPr>
        <w:spacing w:after="0" w:line="11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While we believe that our product candidates may be new molecular entities in the U.S., the FDA may determine, however, that they are not eligible for NCE exclusivity but receives three years of NCI exclusivity instead, if and when FDA approves an NDA for the product. If any product we develop does not receive five years of NCE exclusivity, the FDA may approve generic versions of such product three years after its date of approval, subject to the requirement that the ANDA applicant certifies to the invalidity or non-infringement of any patents listed for our products in the Orange Book. If an infringement suit is timely filed by the NDA or patent holder, the FDA cannot finally approve the ANDA for 30 months unless a court decision in favor of the generic manufacturer is issued earlier.</w:t>
      </w:r>
    </w:p>
    <w:p>
      <w:pPr>
        <w:spacing w:after="0" w:line="14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Accordingly, if any of our product candidates is approved, competitors could file ANDAs for generic versions of these products or 505(b)(2) NDAs that reference our product candidates. If there are patents listed for our product candidates in the Orange Book, any ANDA and 505(b)(2) NDA applicants would be required to include a certification as to each listed patent indicating whether the ANDA applicant does or does not intend to challenge the patent. Because we remain early in the research and preclinical development of our product candidates, we cannot predict which, if any, patents in our current portfolio or patents we may obtain in the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future will be eligible for listing in the Orange Book, how any generic competitor would address such patents, whether we would sue on any such patents or the outcome of any such suit.</w:t>
      </w:r>
    </w:p>
    <w:p>
      <w:pPr>
        <w:spacing w:after="0" w:line="132"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patent certification and subsequent litigation, the affected product could immediately face generic competition and its sales would likely decline rapidly and materially.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us or more successfully than we do.</w:t>
      </w:r>
    </w:p>
    <w:p>
      <w:pPr>
        <w:spacing w:after="0" w:line="13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product candidates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disorders for which we are conducting research programs.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8"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 candidates or that would render our product candidates obsolete or non-competitive. Our competitors also may obtain FDA, EMA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44"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expect to face competition from existing products and product candidates in development for each of our programs. Currently, patients with DMD are treated with corticosteroids to manage the inflammatory component of the disease. EMFLAZA (deflazacort) is an FDA-approved corticosteroid marketed by PTC Therapeutics, Inc., or PTC. People with DMD also use prednisone or prednisolone off-label. In addition, there are four FDA-approved exon skipping drugs: EXONDYS-51 (Eteplirsen), VYONDYS-53 (Golodirsen) and AMONDYS-45 (Casimersen), which are naked phosphorodiamidate morpholino oligonucleotides, or PMOs, approved for the treatment of DMD patients amenable to Exon 51, Exon 53 and Exon 45 skipping, respectively, and are marketed by Sarepta Therapeutics, Inc., or Sarepta, VILTEPSO (Viltolarsen), a naked PMO approved for the treatment of DMD patients amenable to Exon 53 skipping, which is marketed in the United States by NS Pharma. Companies focused on developing treatments for DMD that target dystrophin, as our DMD program does, include Dyne Therapeutics with antibody-conjugated PMOs targeting skipping of several exons, Sarepta with SRP-5051, a peptide-linked PMO currently being evaluated in a Phase 2 clinical trial for patients amenable to Exon 51 skipping, Wave Life Sciences Ltd. with WVE-N531, a stereopure oligonucleotide in preclinical development for patients amenable to Exon 53 skipping, Daiichi Sankyo with an exon skipping approach for Exon 45, PTC with ataluren, a small molecule targeting nonsense mutations in a Phase 3 clinical trial, and Avidity Biosciences, Inc., which is in preclinical development with an antibody oligonucleotide conjugate that targets dystrophin production. In addition, several companies are developing gene therapies to treat DMD, including Pfizer Inc. (PF-06939926), Sarepta (SRP-9001 and Galgt2 gene therapy program), Solid Biosciences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 (SGT-001) and REGENXBIO Inc. Astellas Gene Therapies is using AAV gene therapy approaches to skip exons in the dystrophin gene. Gene editing treatments that are in preclinical development are also being pursued by Vertex, Sarepta and Eli Lilly. We are also aware of several companies targeting non-dystrophin mechanisms for the treatment of DMD.</w:t>
      </w:r>
    </w:p>
    <w:p>
      <w:pPr>
        <w:spacing w:after="0" w:line="14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There are currently no approved therapies to treat the underlying cause of DM1. Product candidates currently in development to treat DM1 include: tideglusib, a GSK3-ß inhibitor in late-stage clinical development by AMO Pharma Ltd. for the congenital phenotype of DM1; AT466, which is an AAV-antisense candidate in preclinical development by Astellas Gene Therapies; an antibody linked siRNA in preclinical development by Avidity Biosciences, Inc.; an antibody conjugated PMO in pre-clinical development by Dyne Therapeutics; a microRNA small molecule approach by Arthex Biotech; an antisense peptide nucleic acid approach by NeuBase Therapeutics; gene editing treatments in preclinical development by Vertex Pharmaceuticals, Inc., or Vertex; an artificial site-specific RNA endonuclease gene therapy being developed by Enzerna Biosciences; an RNA-targeting gene therapy in preclinical development by Locana, Inc.; an approach by Design Therapeutics to prevent formation of CUG hairpins; small molecules interacting with RNA in preclinical development by Expansion Therapeutics, Inc.; and therapeutics based on biomolecular condensate biology in preclinical development by Dewpoint Therapeutics, Inc.</w:t>
      </w:r>
    </w:p>
    <w:p>
      <w:pPr>
        <w:spacing w:after="0" w:line="124" w:lineRule="exact"/>
        <w:rPr>
          <w:sz w:val="20"/>
          <w:szCs w:val="20"/>
          <w:color w:val="auto"/>
        </w:rPr>
      </w:pPr>
    </w:p>
    <w:p>
      <w:pPr>
        <w:ind w:right="160" w:firstLine="449"/>
        <w:spacing w:after="0" w:line="256" w:lineRule="auto"/>
        <w:rPr>
          <w:sz w:val="20"/>
          <w:szCs w:val="20"/>
          <w:color w:val="auto"/>
        </w:rPr>
      </w:pPr>
      <w:r>
        <w:rPr>
          <w:rFonts w:ascii="Arial" w:cs="Arial" w:eastAsia="Arial" w:hAnsi="Arial"/>
          <w:sz w:val="18"/>
          <w:szCs w:val="18"/>
          <w:color w:val="auto"/>
        </w:rPr>
        <w:t>We will also compete more generally with other companies developing alternative scientific and technological approaches, including other companies working to develop conjugates with oligonucleotides for extra-hepatic delivery, including Alnylam Pharmaceuticals, Aro Biotherapeutics, Arrowhead Therapeutics, Avidity Biosciences, Dicerna Pharmaceuticals, Inc., Dyne Therapeutics, Ionis Pharmaceuticals, NeuBase Therapeutics, Inc., PYC Therapeutics and Sarepta, as well as gene therapy and gene editing approaches.</w:t>
      </w:r>
    </w:p>
    <w:p>
      <w:pPr>
        <w:spacing w:after="0" w:line="143" w:lineRule="exact"/>
        <w:rPr>
          <w:sz w:val="20"/>
          <w:szCs w:val="20"/>
          <w:color w:val="auto"/>
        </w:rPr>
      </w:pPr>
    </w:p>
    <w:p>
      <w:pPr>
        <w:ind w:firstLine="449"/>
        <w:spacing w:after="0" w:line="323" w:lineRule="auto"/>
        <w:rPr>
          <w:sz w:val="20"/>
          <w:szCs w:val="20"/>
          <w:color w:val="auto"/>
        </w:rPr>
      </w:pPr>
      <w:r>
        <w:rPr>
          <w:rFonts w:ascii="Arial" w:cs="Arial" w:eastAsia="Arial" w:hAnsi="Arial"/>
          <w:sz w:val="15"/>
          <w:szCs w:val="15"/>
          <w:color w:val="auto"/>
        </w:rPr>
        <w:t>Many of the companies against which we compete or against which we may compete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spacing w:after="0" w:line="9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of our products, if approved. Competitive products or technological approaches may make any products we develop, or our EDO platform, obsolete or noncompetitive before we recover the expense of developing and commercializing our product candidates. If we are unable to compete effectively, our opportunity to generate revenue from the sale of our products, if approved, could be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Even if one or more of our product candidates receives marketing approval, it may fail to achieve the degree of market acceptance by physicians, patients, third-party payors and others in the medical community necessary for commercial success.</w:t>
      </w:r>
    </w:p>
    <w:p>
      <w:pPr>
        <w:spacing w:after="0" w:line="132"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If any of our product candidates progresses successfully through clinical development and receives marketing approval, it may nonetheless fail to gain sufficient market acceptance by physicians, patients, third-party payors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162" w:lineRule="exact"/>
        <w:rPr>
          <w:sz w:val="20"/>
          <w:szCs w:val="20"/>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advantages and limitations compared to alternative treatments;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17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b w:val="1"/>
          <w:bCs w:val="1"/>
          <w:i w:val="1"/>
          <w:iCs w:val="1"/>
          <w:color w:val="auto"/>
        </w:rPr>
        <w:t>If the market opportunities for any product candidates we develop are smaller than we believe they are, our revenue may be adversely affected, and our business may suffer. Because the target patient populations of our programs are small, and the addressable patient population even smaller, we must be able to successfully identify patients and capture a significant market share to achieve profitability and growth.</w:t>
      </w:r>
    </w:p>
    <w:p>
      <w:pPr>
        <w:spacing w:after="0" w:line="10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19"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Our target patient populations are relatively small, and as a result, the pricing and reimbursement of our product candidates, if approved, is uncertain, but must be adequate to support commercial infrastructure. If we are unable to obtain adequate levels of reimbursement, our ability to successfully market and sell product candidates will be adversely affected.</w:t>
      </w:r>
    </w:p>
    <w:p>
      <w:pPr>
        <w:spacing w:after="0" w:line="140" w:lineRule="exact"/>
        <w:rPr>
          <w:sz w:val="20"/>
          <w:szCs w:val="20"/>
          <w:color w:val="auto"/>
        </w:rPr>
      </w:pPr>
    </w:p>
    <w:p>
      <w:pPr>
        <w:ind w:right="340"/>
        <w:spacing w:after="0" w:line="331"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prospectus may prove to be inaccurate, and even if the markets in which we compete achieve the forecasted growth, our business may not grow at similar rates, or at all.</w:t>
      </w:r>
    </w:p>
    <w:p>
      <w:pPr>
        <w:spacing w:after="0" w:line="8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which may not prove to be accurate. The estimates and forecasts included in this prospectus relating to size and expected growth of our target market may prove to be inaccurate. Even if the markets in which we compete meet the size estimates and growth forecasts included in this prospectus, our business may not grow at similar rates, or at all. Our growth is subject to many factors, including our success in implementing our business strategy, which is subject to many risks and uncertainties.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The pricing and third-party payor coverage and reimbursement status of newly approved products are uncertain. Failure to obtain or maintain adequate coverage and reimbursement for our future product candidates, if approved, could limit our ability to market those products and decrease our ability to generate product revenue.</w:t>
      </w:r>
    </w:p>
    <w:p>
      <w:pPr>
        <w:spacing w:after="0" w:line="14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For products administered under the supervision of a physician, obtaining coverage and adequate reimbursement may be particularly difficult because of the higher prices often associated with such drugs. Even if coverage is provided, the approved reimbursement amount may not be high enough to allow us to establish or maintain pricing sufficient to realize a sufficient return on our investment.</w:t>
      </w:r>
    </w:p>
    <w:p>
      <w:pPr>
        <w:spacing w:after="0" w:line="118"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Government authorities and third-party payors, such as private health insurers and health maintenance organizations, decide which medications they will pay for and establish reimbursement levels. There is significant uncertainty related to the insurance coverage and reimbursement of newly approved products. In the United States, the decisions about coverage and reimbursement for new products under the Medicare program are made by the Centers for Medicare &amp; Medicaid Services, or CMS. Private payors tend to follow CMS to a substantial degree. However, one payor’s determination to provide coverage for a product does not assure that other payors will also provide coverage for the drug product. Further, a payor’s decision to provide coverage for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20"/>
        <w:spacing w:after="0" w:line="331" w:lineRule="auto"/>
        <w:rPr>
          <w:sz w:val="20"/>
          <w:szCs w:val="20"/>
          <w:color w:val="auto"/>
        </w:rPr>
      </w:pPr>
      <w:r>
        <w:rPr>
          <w:rFonts w:ascii="Arial" w:cs="Arial" w:eastAsia="Arial" w:hAnsi="Arial"/>
          <w:sz w:val="16"/>
          <w:szCs w:val="16"/>
          <w:color w:val="auto"/>
        </w:rPr>
        <w:t>a drug product does not imply that an adequate reimbursement rate will be approved. Reimbursement agencies in the European Union may be more conservative than CMS. Factors payors consider in determining coverage are based on whether the product is:</w:t>
      </w:r>
    </w:p>
    <w:p>
      <w:pPr>
        <w:spacing w:after="0" w:line="127" w:lineRule="exact"/>
        <w:rPr>
          <w:sz w:val="20"/>
          <w:szCs w:val="20"/>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71"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Additionally,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18" w:lineRule="exact"/>
        <w:rPr>
          <w:sz w:val="20"/>
          <w:szCs w:val="20"/>
          <w:color w:val="auto"/>
        </w:rPr>
      </w:pPr>
    </w:p>
    <w:p>
      <w:pPr>
        <w:ind w:right="20" w:firstLine="449"/>
        <w:spacing w:after="0" w:line="307" w:lineRule="auto"/>
        <w:rPr>
          <w:sz w:val="20"/>
          <w:szCs w:val="20"/>
          <w:color w:val="auto"/>
        </w:rPr>
      </w:pPr>
      <w:r>
        <w:rPr>
          <w:rFonts w:ascii="Arial" w:cs="Arial" w:eastAsia="Arial" w:hAnsi="Arial"/>
          <w:sz w:val="15"/>
          <w:szCs w:val="15"/>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As a result, we might obtain marketing approval for a product in a particular country, but then be subject to price regulations that delay or might even prevent our commercial launch of the product, possibly for lengthy periods of time.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1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any are approved.</w:t>
      </w:r>
    </w:p>
    <w:p>
      <w:pPr>
        <w:spacing w:after="0" w:line="13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In the future, we may build a sales and marketing infrastructure to market certain of our product candidates if they receive marketing approval. There are risks involved with establishing our own sales, marketing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459" w:right="3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12" w:lineRule="exact"/>
        <w:rPr>
          <w:sz w:val="20"/>
          <w:szCs w:val="20"/>
          <w:color w:val="auto"/>
        </w:rPr>
      </w:pPr>
    </w:p>
    <w:p>
      <w:pPr>
        <w:ind w:left="880" w:right="360" w:hanging="427"/>
        <w:spacing w:after="0" w:line="268"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of sales personnel to educate adequate numbers of physicians on the benefits of any future products;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34" w:lineRule="exact"/>
        <w:rPr>
          <w:rFonts w:ascii="Arial" w:cs="Arial" w:eastAsia="Arial" w:hAnsi="Arial"/>
          <w:sz w:val="16"/>
          <w:szCs w:val="16"/>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211" w:lineRule="exact"/>
        <w:rPr>
          <w:rFonts w:ascii="Arial" w:cs="Arial" w:eastAsia="Arial" w:hAnsi="Arial"/>
          <w:sz w:val="18"/>
          <w:szCs w:val="18"/>
          <w:color w:val="auto"/>
        </w:rPr>
      </w:pPr>
    </w:p>
    <w:p>
      <w:pPr>
        <w:ind w:left="880" w:right="160" w:hanging="427"/>
        <w:spacing w:after="0" w:line="268"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7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If we or our licensors are unable to obtain, maintain and defend patent and other intellectual property protection for any product candidates or technology, or if the scope of the patent or other intellectual property protection obtained is not sufficiently broad, our competitors could develop and commercialize products and technology similar or identical to ours, and our ability to successfully develop and commercialize our product candidates or our technology may be adversely affected due to such competition.</w:t>
      </w:r>
    </w:p>
    <w:p>
      <w:pPr>
        <w:spacing w:after="0" w:line="11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Our success depends in large part on our and our licensors’ ability to obtain and maintain patent and other intellectual property protection in the United States and other jurisdictions. We and our licensors have sought, and will seek, to protect our proprietary position by filing additional patent applications in the United States and abroad related to certain technologies and our platform that are important to our business. However, our patent portfolio is at an early stage; except for one issued patent and two applications currently under examination, which we in-licensed from Oxford University and the Medical Research Council, examination of the currently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459" w:right="3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pending patent applications we own or license has yet to begin. In addition, there can be no assurance as to whether or when our patent applications will issue as granted patents. Our ability to stop third parties from making, using, selling, marketing, offering to sell, importing and commercializing our product candidates and our technology is dependent upon the extent to which we have rights under valid and enforceable patents and other intellectual property that cover our platform and technology. If we are unable to secure, maintain, defend and enforce patents and other intellectual property with respect to our product candidates and our technology, it would have a material adverse effect on our business, financial condition, results of operations and prospects.</w:t>
      </w:r>
    </w:p>
    <w:p>
      <w:pPr>
        <w:spacing w:after="0" w:line="115"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Our pending Patent Cooperation Treaty, or PCT, patent applications are not eligible to become issued patents until, among other things, we file a national stage patent application within 30 to 32 months, depending on the jurisdiction, from such application’s priority date in the jurisdictions in which we are seeking patent protection. Similarly, our pending provisional patent applications are not eligible to become issued patents until, among other things, we file a non-provisional patent application within 12 months of such provisional patent application’s filing date. If we do not timely file such national stage patent applications or non-provisional patent applications, we may lose our priority date with respect to such PCT or provisional patent applications, respectively, and any patent protection on the inventions disclosed in such PCT or provisional patent applications, respectively. While we and our licensors intend to timely file national stage and non-provisional patent applications relating to our PCT and provisional patent applications, respectively, we cannot predict whether any such patent applications will result in the issuance of patents. If we or our licensors do not successfully obtain issued patents, or, if the scope of any patent protection we or our licensors obtain is not sufficiently broad, we will be unable to prevent others from using our product candidates or our technology or from developing or commercializing technology and products similar or identical to ours or other competing products and technologies. Any failure to obtain or maintain patent protection with respect to our product candidates or our EDO platform would have a material adverse effect on our business, financial condition, results of operations and prospects.</w:t>
      </w:r>
    </w:p>
    <w:p>
      <w:pPr>
        <w:spacing w:after="0" w:line="12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patent prosecution process is expensive, time-consuming and complex, and we and our licensors may not be able to file, prosecute, maintain, defend, enforce or license all necessary or desirable patent applications at a reasonable cost or in a timely manner. We and our licensors may not be able to obtain, maintain or defend patents and patent applications due to the subject matter claimed in such patents and patent applications being in the public domain.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Consequently, we would not be able to prevent any third party from using any of our technology that is in the public domain to compete with our product candidates.</w:t>
      </w:r>
    </w:p>
    <w:p>
      <w:pPr>
        <w:spacing w:after="0" w:line="119" w:lineRule="exact"/>
        <w:rPr>
          <w:sz w:val="20"/>
          <w:szCs w:val="20"/>
          <w:color w:val="auto"/>
        </w:rPr>
      </w:pPr>
    </w:p>
    <w:p>
      <w:pPr>
        <w:ind w:right="40" w:firstLine="449"/>
        <w:spacing w:after="0" w:line="309" w:lineRule="auto"/>
        <w:rPr>
          <w:sz w:val="20"/>
          <w:szCs w:val="20"/>
          <w:color w:val="auto"/>
        </w:rPr>
      </w:pPr>
      <w:r>
        <w:rPr>
          <w:rFonts w:ascii="Arial" w:cs="Arial" w:eastAsia="Arial" w:hAnsi="Arial"/>
          <w:sz w:val="15"/>
          <w:szCs w:val="15"/>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patent rights are highly uncertain. Our pending and future owned and licensed patent applications may not result in patents being issued which protect our technology or product candidates, effectively prevent others from commercializing competitive technologies and product or otherwise provide any competitive advantage. In fact, patent applications may not issue as patents at all, and even if such patent applications do issue as patents, they may not issue in a form, or with a scope of claims, that will provide us with any meaningful protection, prevent others from competing with us or otherwise provide us with any competitive advantage. In addition, the scope of claims of an issued patent can be reinterpreted after issuance, and changes in either the patent laws or interpretation of the patent laws in the United States and other jurisdictions may diminish the value of our patent rights or narrow the scope of our patent protection. Furthermore, our competitors or other third parties may be able to circumvent our patents by developing similar or alternative technologies or products in a non-infringing manner.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Third parties have developed technologies that may be related or competitive to our own technologies and product candidates and may have filed or may file patent applications, or may have obtained issued patents, claiming inventions that may overlap or conflict with those claimed in our owned or licensed patent applications or issued patents. We may not be aware of all third-party intellectual property rights potentially relating to our current and future product candidates and technology. Publications of discoveries in the scientific literature often lag the actual discoveries, and patent applications in the United States and other jurisdictions are typically not published until 18 months after filing or, in some cases, not at all. Therefore, we cannot know for certain whether the inventors of our owned or licensed patents and patent applications were the first to make the inventions claimed in any owned or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ruled unenforceable.</w:t>
      </w:r>
    </w:p>
    <w:p>
      <w:pPr>
        <w:spacing w:after="0" w:line="119" w:lineRule="exact"/>
        <w:rPr>
          <w:sz w:val="20"/>
          <w:szCs w:val="20"/>
          <w:color w:val="auto"/>
        </w:rPr>
      </w:pPr>
    </w:p>
    <w:p>
      <w:pPr>
        <w:ind w:firstLine="449"/>
        <w:spacing w:after="0" w:line="305" w:lineRule="auto"/>
        <w:rPr>
          <w:sz w:val="20"/>
          <w:szCs w:val="20"/>
          <w:color w:val="auto"/>
        </w:rPr>
      </w:pPr>
      <w:r>
        <w:rPr>
          <w:rFonts w:ascii="Arial" w:cs="Arial" w:eastAsia="Arial" w:hAnsi="Arial"/>
          <w:sz w:val="15"/>
          <w:szCs w:val="15"/>
          <w:color w:val="auto"/>
        </w:rPr>
        <w:t xml:space="preserve">The issuance of a patent is not conclusive as to its inventorship, scope, validity or enforceability, and our owned and licensed patents may be challenged in the courts or patent offices in the United States and other jurisdictions. For example, we may be subject to a third-party submission of prior art to the United States Patent and Trademark Office, or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proceedings and similar proceedings in foreign jurisdictions (for example, opposition proceedings) challenging our owned or licensed patent rights. In addition, a third party may claim that our owned or licensed patent rights are invalid or unenforceable in a litigation. An adverse result in any litigation or patent office proceeding could put one or more of our owned or licensed patents at risk of being invalidated, ruled unenforceable or interpreted narrowly and could allow third parties to commercialize products identical or similar to our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and proceedings may result in loss of patent rights, exclusivity or in patent claims being narrowed, invalidated or held unenforceable, which could limit our ability to stop others from using or commercializing similar or identical technology and products, or limit the duration of the patent protection of our technology and our product candidates. Such challenges and proceedings may also result in substantial cost and require significant time from our scientists and management, even if the eventual outcome is favorable to us. Moreover, there could be public announcements of the results of hearings, motions or other interim proceedings or developments related to such challenges and proceedings. If securities analysts or investors perceive these results to be negative, it could have a substantial adverse effect on the price of our common stock.</w:t>
      </w:r>
    </w:p>
    <w:p>
      <w:pPr>
        <w:spacing w:after="0" w:line="111"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Furthermore, patents have a limited lifespan. In the United States, the expiration of a patent is generally 20 years from the earliest date of filing of the first non-provisional patent application to which the patent claims priority. Patent term adjustments and extensions may be available; however, the overall term of a patent, and the protection it affords, is limited. Given the amount of time required for the development, testing and regulatory review of new product candidates, patents protecting such product candidates might expire before or shortly after such product candidates are commercialized. As a result, our owned and licensed patent and other intellectual property rights may not provide us with sufficient rights to exclude others from commercializing products similar or identical to our technology and our product candidates. Any of the foregoing could have a material adverse effect on our competitive position, business, financial condition, results of operations and prospects.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Our rights to develop and commercialize any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43"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are and expect to continue to be reliant upon third-party licensors for certain patent and other intellectual property rights that are important or necessary to the development of our technology and product candidates. For example, we rely on a license from Oxford University Innovation Limited, or OUI, and the Medical Research Council of United Kingdom Research and Innovation, or MRC, to certain patent rights and know-how of OUI and MRC, or the OUI/MRC License. The OUI/MRC License imposes, and we expect that any future license agreement will impose, specified diligence, milestone payment, fee payment, royalty, commercialization, development and other obligations on us and require us to meet development timelines, or to exercise diligent or commercially reasonable efforts to develop and commercialize licensed products, in order to maintain the licenses. See the section titled “Business— Intellectual property—License agreement with Oxford University Innovation Limited and the Medical Research Council of United Kingdom Research and Innovation” appearing elsewhere in this prospectus for more information about the terms of the OUI/MRC License.</w:t>
      </w:r>
    </w:p>
    <w:p>
      <w:pPr>
        <w:spacing w:after="0" w:line="124"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product candidates and technology, lose patent protection, experience significant delays in the development and commercialization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 and our technology. Any of the foregoing could have a material adverse effect on our competitive position, business, financial condition, results of operations and prospects.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12" w:lineRule="exact"/>
        <w:rPr>
          <w:sz w:val="20"/>
          <w:szCs w:val="20"/>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or our licensors’ ability to obtain, maintain and defend intellectual property and to enforce intellectual property rights against third parties;</w:t>
      </w:r>
    </w:p>
    <w:p>
      <w:pPr>
        <w:spacing w:after="0" w:line="234" w:lineRule="exact"/>
        <w:rPr>
          <w:rFonts w:ascii="Arial" w:cs="Arial" w:eastAsia="Arial" w:hAnsi="Arial"/>
          <w:sz w:val="16"/>
          <w:szCs w:val="16"/>
          <w:color w:val="auto"/>
        </w:rPr>
      </w:pPr>
    </w:p>
    <w:p>
      <w:pPr>
        <w:ind w:left="880" w:right="160" w:hanging="427"/>
        <w:spacing w:after="0" w:line="268"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our technology, product candidates and processes infringe, misappropriate or otherwise violate the intellectual property of the licensor that is not subject to the license agreement;</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sublicensing of patent and other intellectual property rights under our license agreements;</w:t>
      </w:r>
    </w:p>
    <w:p>
      <w:pPr>
        <w:spacing w:after="0" w:line="211" w:lineRule="exact"/>
        <w:rPr>
          <w:rFonts w:ascii="Arial" w:cs="Arial" w:eastAsia="Arial" w:hAnsi="Arial"/>
          <w:sz w:val="18"/>
          <w:szCs w:val="18"/>
          <w:color w:val="auto"/>
        </w:rPr>
      </w:pPr>
    </w:p>
    <w:p>
      <w:pPr>
        <w:ind w:left="880" w:right="260" w:hanging="427"/>
        <w:spacing w:after="0" w:line="268"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diligence, development, regulatory, commercialization, financial or other obligations under the license agreement and what activities satisfy those diligence obligations;</w:t>
      </w:r>
    </w:p>
    <w:p>
      <w:pPr>
        <w:spacing w:after="0" w:line="172"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current or future licensors and us and our partners; and</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addition, the OUI/MRC License is,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118"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While the OUI/MRC License grants certain exclusive patent and technology rights to us, 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our product candidates.</w:t>
      </w:r>
    </w:p>
    <w:p>
      <w:pPr>
        <w:spacing w:after="0" w:line="1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Moreover, some of our in-licensed patent and other intellectual property rights are, and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124"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or foreign government and timely electing title to such inventions. A failure to meet these obligations may lead to a loss of rights or the unenforceability of relevant patents or patent applications.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Filing, prosecuting, maintaining, enforcing and defending patents and other intellectual property rights on our technology and our product candidates in all jurisdictions throughout the world would be prohibitively expensive, and accordingly, our intellectual property rights in some jurisdictions outside the United States could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 less extensive than those in the United States. In some cases, we or our licensors may not be able to obtain patent or other intellectual property protection for certain technology and product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our product candidates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our product candidates and our technology and our or our licensors’ patents or other intellectual property rights may not be effective or sufficient to prevent them from competing.</w:t>
      </w:r>
    </w:p>
    <w:p>
      <w:pPr>
        <w:spacing w:after="0" w:line="122"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6" w:lineRule="exact"/>
        <w:rPr>
          <w:sz w:val="20"/>
          <w:szCs w:val="20"/>
          <w:color w:val="auto"/>
        </w:rPr>
      </w:pPr>
    </w:p>
    <w:p>
      <w:pPr>
        <w:ind w:right="260" w:firstLine="449"/>
        <w:spacing w:after="0" w:line="254" w:lineRule="auto"/>
        <w:rPr>
          <w:sz w:val="20"/>
          <w:szCs w:val="20"/>
          <w:color w:val="auto"/>
        </w:rPr>
      </w:pPr>
      <w:r>
        <w:rPr>
          <w:rFonts w:ascii="Arial" w:cs="Arial" w:eastAsia="Arial" w:hAnsi="Arial"/>
          <w:sz w:val="18"/>
          <w:szCs w:val="18"/>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other intellectual property or the intellectual property of our licensors, which could be expensive, time-consuming, and unsuccessful.</w:t>
      </w:r>
    </w:p>
    <w:p>
      <w:pPr>
        <w:spacing w:after="0" w:line="132"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Competitors may infringe our patents or other intellectual property or the intellectual property of our licensors. To cease such infringement or unauthorized use, we may be required to file patent infringement claims, which can be expensive and time-consuming and divert the time and attention of our management and scientific personnel. Our pending patent applications cannot be enforced against third parties practicing the technology claimed in such applications unless and until a patent issues from such applications. In addition, in an infringement proceeding or a declaratory judgment action,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merit, would involve substantial litigation expense and would be a substantial diversion of employee resources from our business.</w:t>
      </w:r>
    </w:p>
    <w:p>
      <w:pPr>
        <w:spacing w:after="0" w:line="171"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Changes in patent law in the United States or worldwide could diminish the value of patents in general, thereby impairing our ability to protect our product candidates and our technology.</w:t>
      </w:r>
    </w:p>
    <w:p>
      <w:pPr>
        <w:spacing w:after="0" w:line="132"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and worldwide, including patent reform legislation such as the Leahy-Smith America Invents Act, or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22"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As one example, in the case Assoc. for Molecular Pathology v. Myriad Genetics, Inc., the U.S. Supreme Court held that certain claims to DNA molecules are not patentable simply because they have been isolated from surrounding material. Moreover, in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our product candidates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23" w:lineRule="exact"/>
        <w:rPr>
          <w:sz w:val="20"/>
          <w:szCs w:val="20"/>
          <w:color w:val="auto"/>
        </w:rPr>
      </w:pPr>
    </w:p>
    <w:p>
      <w:pPr>
        <w:jc w:val="both"/>
        <w:ind w:right="78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40"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patent applications will be due to be paid to the USPTO and various government patent agencies outside of the United States over the lifetime of our owned or licensed patent rights. We rely on our outside counsel and other professionals or our licensing partners to pay these fees due to the USPTO and non-U.S. government patent agencies. The USPTO and various non-U.S. government patent agencies also require compliance with several procedural, documentary and other similar provisions during the patent application process. We rely on our outside counsel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loss of priority or lapse of the patent or patent application, resulting in partial or complete loss of patent rights in the relevant jurisdiction. In such an event, potential competitors might be able to enter the market and this circumstance could have a material adverse effect on our competitive position,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obtaining necessary rights to our product candidates through acquisitions and in-licenses.</w:t>
      </w:r>
    </w:p>
    <w:p>
      <w:pPr>
        <w:spacing w:after="0" w:line="171"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We currently have rights to certain intellectual property through the OUI/MRC License. Because our programs may require the use of additional intellectual property rights held by third parties, the growth of our business likely will depend, in part, on our ability to acquire, in-license or use these intellectual property rights. In addition, with respect to any patent or other intellectual property rights that we co-own with third parties, we may require exclusive licenses to such co-owners’ interest in such patent or other intellectual property rights. However, we may be unable to secure such licenses or otherwise acquire or in-license any intellectual property rights related to compositions, methods of use, processes or other components from third parties that we identify as necessary for our product candidates and our technology on commercially reasonable terms, or at all. Even if we are able to in-license any such necessary intellectual property, it could be on non-exclusive terms, thereby giving our competitors and other third parties access to the same intellectual property licensed to us, and the applicable licensors could require us to make substantial licensing and royalty payments. The licensing or acquisition of third-party intellectual property rights is a competitive area, and several more established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320" w:top="459" w:right="3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12" w:lineRule="exact"/>
        <w:rPr>
          <w:sz w:val="20"/>
          <w:szCs w:val="20"/>
          <w:color w:val="auto"/>
        </w:rPr>
      </w:pPr>
    </w:p>
    <w:p>
      <w:pPr>
        <w:jc w:val="both"/>
        <w:ind w:right="60" w:firstLine="449"/>
        <w:spacing w:after="0" w:line="254" w:lineRule="auto"/>
        <w:rPr>
          <w:sz w:val="20"/>
          <w:szCs w:val="20"/>
          <w:color w:val="auto"/>
        </w:rPr>
      </w:pPr>
      <w:r>
        <w:rPr>
          <w:rFonts w:ascii="Arial" w:cs="Arial" w:eastAsia="Arial" w:hAnsi="Arial"/>
          <w:sz w:val="18"/>
          <w:szCs w:val="18"/>
          <w:color w:val="auto"/>
        </w:rPr>
        <w:t>We sometimes collaborate with non-profit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third parties, potentially blocking our ability to pursue our research program and develop and commercialize our product candidates.</w:t>
      </w:r>
    </w:p>
    <w:p>
      <w:pPr>
        <w:spacing w:after="0" w:line="14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licensed,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have a material adverse effect on our business, financial condition, results of operations and prospects.</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before administrative bodies in the United States or abroad.</w:t>
      </w:r>
    </w:p>
    <w:p>
      <w:pPr>
        <w:spacing w:after="0" w:line="13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product candidates. Any of the foregoing could have a material adverse effect on our business, financial condition, results of operations and prospects.</w:t>
      </w:r>
    </w:p>
    <w:p>
      <w:pPr>
        <w:spacing w:after="0" w:line="147"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 xml:space="preserve">If we or one of our licensors initiate legal proceedings against a third party to enforce a patent covering our product candidates or our technology, the defendant could counterclaim that the patent covering the product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such as opposition, invalidation and revocation proceedings in foreign jurisdictions. Such proceedings could result in the revocation or cancellation of or amendment to our patents in such a way that they no longer cover our product candidates or our technology or prevent third parties from competing with our product candidates or our technology.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product candidates or technology. Such a loss of patent protection could have a material adverse effect on our business, financial condition, results of operations and prospects.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contractors and other parties who have access to such technology and processes. However,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As a result, we could lose our trade secrets and third parties could use our trade secrets to compete with our product candidates and our technology. Additionally, we cannot guarantee that we have entered into such agreements with each party that may have or has had access to our trade secrets or proprietary technology and processes.</w:t>
      </w:r>
    </w:p>
    <w:p>
      <w:pPr>
        <w:spacing w:after="0" w:line="123"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140" w:lineRule="exact"/>
        <w:rPr>
          <w:sz w:val="20"/>
          <w:szCs w:val="20"/>
          <w:color w:val="auto"/>
        </w:rPr>
      </w:pPr>
    </w:p>
    <w:p>
      <w:pPr>
        <w:ind w:right="180" w:firstLine="449"/>
        <w:spacing w:after="0" w:line="290" w:lineRule="auto"/>
        <w:rPr>
          <w:sz w:val="20"/>
          <w:szCs w:val="20"/>
          <w:color w:val="auto"/>
        </w:rPr>
      </w:pPr>
      <w:r>
        <w:rPr>
          <w:rFonts w:ascii="Arial" w:cs="Arial" w:eastAsia="Arial" w:hAnsi="Arial"/>
          <w:sz w:val="16"/>
          <w:szCs w:val="16"/>
          <w:color w:val="auto"/>
        </w:rPr>
        <w:t>In addition, our trade secrets may otherwise become known or be independently discovered by competitors or other third parties. Competitors or third parties could purchase our product candidates or our technology and attempt to replicate some or all of the competitive advantages we derive from our development efforts, willfully infringe our intellectual property rights, design around our intellectual property rights or develop their own competitive technologies that fall outside the scope of our intellectual property rights. If any of our trade secrets were to be lawfully obtained or independently developed by a competitor or other third party, we would have no right to prevent them, or those to whom they communicate such trade secrets, from using that technology or information to compete with us. If our trade secrets are not adequately protected so as to protect our market against competitors’ products, our business, financial condition, results of operations and prospects could be materially and adversely affected.</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harm our business.</w:t>
      </w:r>
    </w:p>
    <w:p>
      <w:pPr>
        <w:spacing w:after="0" w:line="132"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Our commercial success depends upon our ability and the ability of our collaborators, if any, to develop, manufacture, market and sell our product candidates and use our proprietary technologies without infringing, misappropriating or otherwise violating the intellectual property rights of third parties. The biotechnology and pharmaceutical industries are characterized by extensive and complex litigation regarding patents and other intellectual property rights. We may become party to, or be threatened with, adversarial proceedings or litigation in which third parties may assert infringement, misappropriation or other violation claims against us, alleging that our product candidates, manufacturing methods, formulations or administration methods are covered by their patents. Given the vast number of patents and other intellectual property in our field of technology, we cannot be certain or guarantee that we do not infringe, misappropriate or otherwise violate patents or other intellectual property. Other companies and institutions have filed, and continue to file, patent applications that may be related to our technology and, more broadly, to gene therapy and related manufacturing methods. Some of these patent applications have already been allowed or issued and others may issue in the future. Since this area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competitive and of strong interest to pharmaceutical and biotechnology companies, there will likely be additional patent applications filed and additional patents granted in the future, as well as additional research and development programs expected in the future.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a patent holder believes the manufacture, use, sale or importation of our product candidates or our technology infringes its patent, the patent holder may sue us even if we have licensed other patent rights for our technology.</w:t>
      </w:r>
    </w:p>
    <w:p>
      <w:pPr>
        <w:spacing w:after="0" w:line="120"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We are aware of certain patents in the United States and other jurisdictions owned by third parties that claim subject matter that relates to our product candidates and the EDO platform. Such third parties may assert these patents against us in litigation in the United States or other jurisdictions. The outcome of any such litigation is uncertain and, even if we prevail, the costs of such litigation could have a material adverse effect on our financial position, result in disclosure of our trade secrets, distract key personnel from the continued development of our business, and adversely affect our ability to enter or maintain commercial relationships with collaborators, clients or customers. If we are unsuccessful in such litigation, we could be prevented from commercializing products or could be required to take licenses from such third parties which may not be available on commercially reasonable terms, if at all.</w:t>
      </w:r>
    </w:p>
    <w:p>
      <w:pPr>
        <w:spacing w:after="0" w:line="120"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It is also possible that we have failed to identify relevant third-party patents or applications. Because patent applications can take many years to issue, may be confidential for 18 months or more after filing and can be revised before issuance, there may be applications now pending which may later result in issued patents that may be infringed by the manufacture, use, sale or importation of our product candidates or our technology and we may not be aware of such patents. Furthermore, applications filed before November 29, 2000 and certain applications filed after that date that will not be filed outside the United States may remain confidential until a patent issues. Moreover, it is difficult for industry participants, including us, to identify all third-party patent rights that may be relevant to our product candidates and our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126"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adversely affect our ability to commercialize our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patent or other intellectual property right. A finding of infringement could prevent us from manufacturing and commercializing our product candidates or force us to cease some of our business operations, which could harm our business. Claims that we have misappropriated the confidential information or trade secrets of third parties could have a similar negative impact on our business, financial condition, results of operations and prospects.</w:t>
      </w:r>
    </w:p>
    <w:p>
      <w:pPr>
        <w:spacing w:after="0" w:line="10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b w:val="1"/>
          <w:bCs w:val="1"/>
          <w:i w:val="1"/>
          <w:iCs w:val="1"/>
          <w:color w:val="auto"/>
        </w:rPr>
        <w:t>Intellectual property litigation or other proceedings could cause us to spend substantial resources and distract our personnel from their normal responsibilities.</w:t>
      </w:r>
    </w:p>
    <w:p>
      <w:pPr>
        <w:spacing w:after="0" w:line="132"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Competitors may challenge the validity and enforceability of our patent rights or those of our licensing partners, infringe, misappropriate or otherwise violate our or our licensors’ patent and other intellectual property rights, or we may be required to defend against claims of infringement, misappropriation or other violation. Litigation and other proceedings in connection with any of the foregoing claims can be unpredictable, expensive and time consuming. Even if resolved in our favor, litigation or other proceedings relating to intellectual property claims may cause us to incur significant expenses and could distract our scientific,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2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or other third parties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 and could have a material adverse effect on our business, financial condition, results of operations and prospects.</w:t>
      </w:r>
    </w:p>
    <w:p>
      <w:pPr>
        <w:spacing w:after="0" w:line="147"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87"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be required to obtain licenses to such intellectual property rights, which may not be available on commercially reasonable terms or at all. An inability to incorporate such intellectual property rights would harm our business and may prevent us from successfully commercializing our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 candidates and our technology, which would have a material adverse effect on our business, results of operations, financial condition and prospects. Even if we are successful in defending against such claims, litigation could result in substantial costs and be a distraction to our scientific and management personnel.</w:t>
      </w:r>
    </w:p>
    <w:p>
      <w:pPr>
        <w:spacing w:after="0" w:line="126"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459"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own may have a material adverse effect on our business, financial condition, results of operations and prospects.</w:t>
      </w:r>
    </w:p>
    <w:p>
      <w:pPr>
        <w:spacing w:after="0" w:line="115"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color w:val="auto"/>
        </w:rPr>
        <w:t>In addition, we or our licensors may in the future be subject to claims by former employees, consultants or other third parties asserting an ownership right in our owned or licensed patent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our product candidates. Such challenges may also result in our inability to develop, manufacture or commercialize our technology and product candidates without infringing third-party patent rights. In addition, if the breadth or strength of protection provided by our owned or licensed patent rights are threatened, it could dissuade companies from collaborating with us to license, develop or commercialize current or future technology and product candidates. Any of the foregoing could have a material adverse effect on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harmed.</w:t>
      </w:r>
    </w:p>
    <w:p>
      <w:pPr>
        <w:spacing w:after="0" w:line="17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Depending upon the timing, duration and specifics of any FDA marketing approval of our product candidates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 products following our patent expiration, and our revenue could be reduced. Any of the foregoing could have a material adverse effect on our business, financial condition, results of operations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 and other intellectual property rights.</w:t>
      </w:r>
    </w:p>
    <w:p>
      <w:pPr>
        <w:spacing w:after="0" w:line="171" w:lineRule="exact"/>
        <w:rPr>
          <w:sz w:val="20"/>
          <w:szCs w:val="20"/>
          <w:color w:val="auto"/>
        </w:rPr>
      </w:pPr>
    </w:p>
    <w:p>
      <w:pPr>
        <w:ind w:right="240" w:firstLine="449"/>
        <w:spacing w:after="0" w:line="29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product candidates or technology. Litigation may be necessary to defend against these and other claims challenging inventorship or our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Our current and future trademark applications in the United States and other foreign jurisdictions may not be allowed or may be subsequently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which we need to build name recognition among potential partners or customers in our markets of interest. At times,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or prospects.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2" w:lineRule="exact"/>
        <w:rPr>
          <w:sz w:val="20"/>
          <w:szCs w:val="20"/>
          <w:color w:val="auto"/>
        </w:rPr>
      </w:pPr>
    </w:p>
    <w:p>
      <w:pPr>
        <w:ind w:left="880" w:right="200" w:hanging="427"/>
        <w:spacing w:after="0" w:line="268"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intellectual property, including the claims of the patents, that we own or license currently or in the future;</w:t>
      </w:r>
    </w:p>
    <w:p>
      <w:pPr>
        <w:spacing w:after="0" w:line="172" w:lineRule="exact"/>
        <w:rPr>
          <w:rFonts w:ascii="Arial" w:cs="Arial" w:eastAsia="Arial" w:hAnsi="Arial"/>
          <w:sz w:val="18"/>
          <w:szCs w:val="18"/>
          <w:color w:val="auto"/>
        </w:rPr>
      </w:pPr>
    </w:p>
    <w:p>
      <w:pPr>
        <w:ind w:left="880" w:right="180" w:hanging="427"/>
        <w:spacing w:after="0" w:line="268"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own or license currently or in the future;</w:t>
      </w:r>
    </w:p>
    <w:p>
      <w:pPr>
        <w:spacing w:after="0" w:line="172"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72" w:lineRule="exact"/>
        <w:rPr>
          <w:rFonts w:ascii="Arial" w:cs="Arial" w:eastAsia="Arial" w:hAnsi="Arial"/>
          <w:sz w:val="18"/>
          <w:szCs w:val="18"/>
          <w:color w:val="auto"/>
        </w:rPr>
      </w:pPr>
    </w:p>
    <w:p>
      <w:pPr>
        <w:ind w:left="880" w:right="100" w:hanging="427"/>
        <w:spacing w:after="0" w:line="268"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possible that our or our licensors’ current or future pending patent applications will not lead to issued patents;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issued patents that we hold rights to may be held invalid or unenforceable, including as a result of legal challenges by third parties;</w:t>
      </w:r>
    </w:p>
    <w:p>
      <w:pPr>
        <w:spacing w:after="0" w:line="234" w:lineRule="exact"/>
        <w:rPr>
          <w:rFonts w:ascii="Arial" w:cs="Arial" w:eastAsia="Arial" w:hAnsi="Arial"/>
          <w:sz w:val="16"/>
          <w:szCs w:val="16"/>
          <w:color w:val="auto"/>
        </w:rPr>
      </w:pPr>
    </w:p>
    <w:p>
      <w:pPr>
        <w:ind w:left="880" w:right="260" w:hanging="427"/>
        <w:spacing w:after="0" w:line="331"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third parties might conduct research and development activities in jurisdictions where we do not have patent or other intellectual property rights and then use the information learned from such activities to develop competitive products for sale in our major commercial markets;</w:t>
      </w:r>
    </w:p>
    <w:p>
      <w:pPr>
        <w:spacing w:after="0" w:line="127" w:lineRule="exact"/>
        <w:rPr>
          <w:rFonts w:ascii="Arial" w:cs="Arial" w:eastAsia="Arial" w:hAnsi="Arial"/>
          <w:sz w:val="16"/>
          <w:szCs w:val="16"/>
          <w:color w:val="auto"/>
        </w:rPr>
      </w:pPr>
    </w:p>
    <w:p>
      <w:pPr>
        <w:ind w:left="880" w:hanging="427"/>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211" w:lineRule="exact"/>
        <w:rPr>
          <w:rFonts w:ascii="Arial" w:cs="Arial" w:eastAsia="Arial" w:hAnsi="Arial"/>
          <w:sz w:val="18"/>
          <w:szCs w:val="18"/>
          <w:color w:val="auto"/>
        </w:rPr>
      </w:pPr>
    </w:p>
    <w:p>
      <w:pPr>
        <w:ind w:left="880" w:right="20" w:hanging="427"/>
        <w:spacing w:after="0" w:line="268"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132"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Because we currently rely on certain third parties to manufacture all or part of our product candidates and to perform quality testing, and because we may need to collaborate with various third parties for the advancement of our product candidates and technology, we may be required to, at times, share our proprietary technology and confidential information, including trade secrets, with them. We seek to protect our proprietary technology, in part, by entering into confidentiality agreements and, if applicable, material transfer agreements, collaboration agreements, services agreements, consulting agreements and other similar agreements prior to beginning research or disclosing any proprietary information to such third parties.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Enforcing a claim that a party illegally disclosed or misappropriated a trade secret is difficult, expensive and time 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Further, if any of our trade secrets were to be lawfully obtained or independently developed by a competitor or other third-party, we would have no right to prevent them from using that technology or information to compete with us.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Operational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0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26" w:lineRule="exact"/>
        <w:rPr>
          <w:sz w:val="20"/>
          <w:szCs w:val="20"/>
          <w:color w:val="auto"/>
        </w:rPr>
      </w:pPr>
    </w:p>
    <w:p>
      <w:pPr>
        <w:ind w:right="320"/>
        <w:spacing w:after="0" w:line="331" w:lineRule="auto"/>
        <w:rPr>
          <w:sz w:val="20"/>
          <w:szCs w:val="20"/>
          <w:color w:val="auto"/>
        </w:rPr>
      </w:pPr>
      <w:r>
        <w:rPr>
          <w:rFonts w:ascii="Arial" w:cs="Arial" w:eastAsia="Arial" w:hAnsi="Arial"/>
          <w:sz w:val="16"/>
          <w:szCs w:val="16"/>
          <w:b w:val="1"/>
          <w:bCs w:val="1"/>
          <w:i w:val="1"/>
          <w:iCs w:val="1"/>
          <w:color w:val="auto"/>
        </w:rPr>
        <w:t>We expect to expand our headcount to support our development and regulatory capabilities and potentially implement sales, marketing and distribution capabilities, and as a result, we may encounter difficulties in managing our growth, which could disrupt our operations.</w:t>
      </w:r>
    </w:p>
    <w:p>
      <w:pPr>
        <w:spacing w:after="0" w:line="8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As of June 30, 2021, we had 12 full-time employees. As our development progresses, we expect to experience significant growth in the number of our employees and the scope of our operations, particularly in the areas of drug development, clinical, regulatory affairs and, if any product candidate receives marketing approval, sales, marketing, distribution and coverage and reimbursement capabilities.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24"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various risks, and our failure to manage these risks could adversely affect our results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face significant operational risks as a result of doing business internationally, such as:</w:t>
      </w:r>
    </w:p>
    <w:p>
      <w:pPr>
        <w:spacing w:after="0" w:line="212" w:lineRule="exact"/>
        <w:rPr>
          <w:sz w:val="20"/>
          <w:szCs w:val="20"/>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potentially adverse and/or unexpected tax consequences, including penalties due to the challenge by tax authorities on our tax position;</w:t>
      </w:r>
    </w:p>
    <w:p>
      <w:pPr>
        <w:spacing w:after="0" w:line="234" w:lineRule="exact"/>
        <w:rPr>
          <w:rFonts w:ascii="Arial" w:cs="Arial" w:eastAsia="Arial" w:hAnsi="Arial"/>
          <w:sz w:val="16"/>
          <w:szCs w:val="16"/>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changes to the accounting standards, which may influence our financial situation and results;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11"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protection of, or significant difficulties in enforcing, intellectual property rights in certain countries;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w:t>
      </w:r>
    </w:p>
    <w:p>
      <w:pPr>
        <w:spacing w:after="0" w:line="211" w:lineRule="exact"/>
        <w:rPr>
          <w:rFonts w:ascii="Arial" w:cs="Arial" w:eastAsia="Arial" w:hAnsi="Arial"/>
          <w:sz w:val="18"/>
          <w:szCs w:val="18"/>
          <w:color w:val="auto"/>
        </w:rPr>
      </w:pPr>
    </w:p>
    <w:p>
      <w:pPr>
        <w:ind w:left="880" w:right="640" w:hanging="427"/>
        <w:spacing w:after="0" w:line="268"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restrictions imposed by local labor practices and laws on our business and operations, including unilateral cancellation or modification of contracts;</w:t>
      </w:r>
    </w:p>
    <w:p>
      <w:pPr>
        <w:spacing w:after="0" w:line="172" w:lineRule="exact"/>
        <w:rPr>
          <w:rFonts w:ascii="Arial" w:cs="Arial" w:eastAsia="Arial" w:hAnsi="Arial"/>
          <w:sz w:val="18"/>
          <w:szCs w:val="18"/>
          <w:color w:val="auto"/>
        </w:rPr>
      </w:pPr>
    </w:p>
    <w:p>
      <w:pPr>
        <w:ind w:left="880" w:right="120" w:hanging="427"/>
        <w:spacing w:after="0" w:line="331" w:lineRule="auto"/>
        <w:tabs>
          <w:tab w:leader="none" w:pos="8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rapid changes in global government, economic and political policies and conditions, political or civil unrest or instability, terrorism or epidemics and other similar outbreaks or events, and potential failure in confidence of our suppliers or customers due to such changes or events; and</w:t>
      </w:r>
    </w:p>
    <w:p>
      <w:pPr>
        <w:spacing w:after="0" w:line="127" w:lineRule="exact"/>
        <w:rPr>
          <w:rFonts w:ascii="Arial" w:cs="Arial" w:eastAsia="Arial" w:hAnsi="Arial"/>
          <w:sz w:val="16"/>
          <w:szCs w:val="16"/>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or strategic alliances could disrupt our business and harm our financial condition and results of operations.</w:t>
      </w:r>
    </w:p>
    <w:p>
      <w:pPr>
        <w:spacing w:after="0" w:line="171"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We may acquire additional businesses, technologies or assets,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60" w:lineRule="exact"/>
        <w:rPr>
          <w:sz w:val="20"/>
          <w:szCs w:val="20"/>
          <w:color w:val="auto"/>
        </w:rPr>
      </w:pPr>
    </w:p>
    <w:p>
      <w:pPr>
        <w:ind w:left="880" w:hanging="427"/>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32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relationships with collaborators as a result of product acquisitions or strategic positioning resulting from the acquisition;</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11" w:lineRule="exact"/>
        <w:rPr>
          <w:rFonts w:ascii="Arial" w:cs="Arial" w:eastAsia="Arial" w:hAnsi="Arial"/>
          <w:sz w:val="18"/>
          <w:szCs w:val="18"/>
          <w:color w:val="auto"/>
        </w:rPr>
      </w:pPr>
    </w:p>
    <w:p>
      <w:pPr>
        <w:ind w:left="880" w:right="20" w:hanging="427"/>
        <w:spacing w:after="0" w:line="268"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2" w:lineRule="exact"/>
        <w:rPr>
          <w:rFonts w:ascii="Arial" w:cs="Arial" w:eastAsia="Arial" w:hAnsi="Arial"/>
          <w:sz w:val="18"/>
          <w:szCs w:val="18"/>
          <w:color w:val="auto"/>
        </w:rPr>
      </w:pPr>
    </w:p>
    <w:p>
      <w:pPr>
        <w:ind w:left="880" w:right="560" w:hanging="427"/>
        <w:spacing w:after="0" w:line="268"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11" w:lineRule="exact"/>
        <w:rPr>
          <w:rFonts w:ascii="Arial" w:cs="Arial" w:eastAsia="Arial" w:hAnsi="Arial"/>
          <w:sz w:val="18"/>
          <w:szCs w:val="18"/>
          <w:color w:val="auto"/>
        </w:rPr>
      </w:pPr>
    </w:p>
    <w:p>
      <w:pPr>
        <w:ind w:left="880" w:right="160" w:hanging="427"/>
        <w:spacing w:after="0" w:line="268"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32"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4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b w:val="1"/>
          <w:bCs w:val="1"/>
          <w:i w:val="1"/>
          <w:iCs w:val="1"/>
          <w:color w:val="auto"/>
        </w:rPr>
        <w:t>Our internal information technology systems, or those of our vendors, collaborators or other contractors or consultants, may fail or suffer security breaches, loss or leakage of data and other disruptions or compromise, which could result in a material disruption of our product development programs, compromise sensitive information related to our business or prevent us from accessing critical information, or trigger contractual and legal obligations, potentially exposing us to liability, reputational harm or otherwise adversely affecting our business and financial results.</w:t>
      </w:r>
    </w:p>
    <w:p>
      <w:pPr>
        <w:spacing w:after="0" w:line="97"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are increasingly dependent upon information technology systems and infrastructure to operate our business. In the ordinary course of business, we collect, store and transmit confidential information (including but not limited to intellectual property, proprietary business information and personal information). It is critical that we, our vendors, collaborators and other contractors or consultants, do so in a secure manner to maintain the availability, security, confidentiality, privacy and integrity of such confidential information.</w:t>
      </w:r>
    </w:p>
    <w:p>
      <w:pPr>
        <w:spacing w:after="0" w:line="143"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Despite the implementation of security measures, given the size and complexity of our internal information technology systems and those of our current and future vendors, collaborators and other contractors or consultants, and the increasing amounts of confidential information that we and our affiliated third parties maintain, such information technology systems are still vulnerable to damage or interruption from computer viruses, computer hackers, malicious code, employee error, theft or misuse, denial-of-service attacks, sophisticated nation-state and nation-state-supported actors, unauthorized access, natural disasters, terrorism, war, telecommunication and electrical failures or other compromise.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As such, we may experience security breaches that may remain undetected for an extended period. We may be unable to anticipate all types of security threats, or implement preventive measures effective against all such security threats.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While we seek to protect our information technology systems from system failure, accidental disclosure and security breaches, our efforts may not be successful. If such an event were to occur, it could result in a disruption of our development programs and our business operations, whether due to a loss of our trade secrets or other proprietary or confidential information or other disruptions. For example, the loss of clinical trial data from clinical trials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data subjects, regulators or others could be material. In addition, our remediation efforts may not be successful. Moreover, if the information technology systems of our vendors, collaborators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26" w:lineRule="exact"/>
        <w:rPr>
          <w:sz w:val="20"/>
          <w:szCs w:val="20"/>
          <w:color w:val="auto"/>
        </w:rPr>
      </w:pPr>
    </w:p>
    <w:p>
      <w:pPr>
        <w:ind w:right="120" w:firstLine="449"/>
        <w:spacing w:after="0" w:line="288" w:lineRule="auto"/>
        <w:rPr>
          <w:sz w:val="20"/>
          <w:szCs w:val="20"/>
          <w:color w:val="auto"/>
        </w:rPr>
      </w:pPr>
      <w:r>
        <w:rPr>
          <w:rFonts w:ascii="Arial" w:cs="Arial" w:eastAsia="Arial" w:hAnsi="Arial"/>
          <w:sz w:val="16"/>
          <w:szCs w:val="16"/>
          <w:color w:val="auto"/>
        </w:rPr>
        <w:t>To the extent that any disruption or security breach were to result in a loss of, or damage to, our or our vendors’, collaborators’ or other contractors’ or consultants’ data or applications, or inappropriate disclosure of confidential or proprietary information, we could incur liability, including litigation exposure and penalties and fines.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We could become the subject of regulatory action or investigation, and our competitive position and reputation could be harmed and the further development and commercialization of our product candidates could be delayed. As a result of such an event, we may also be in breach of our contractual obligations. Any of the above could have a material adverse effect on our business, financial condition, results of operations or prospects.</w:t>
      </w:r>
    </w:p>
    <w:p>
      <w:pPr>
        <w:spacing w:after="0" w:line="124"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The financial exposure from the events referenced above could either not be insured against or not be fully covered through any insurance that we maintain.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112"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Our operations or those of the third parties upon whom we depend might be affected by the occurrence of a natural disaster, pandemic or other catastrophic event.</w:t>
      </w:r>
    </w:p>
    <w:p>
      <w:pPr>
        <w:spacing w:after="0" w:line="13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depend on our employees, consultants, CMOs and CROs,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 pandemics,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CMOs, CROs, regulatory agencies or other parties with which we are engaged could have a significant negative impact on our operations and financial performance.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The COVID-19 pandemic may affect our ability to initiate and complete preclinical studies, delay the initiation of our planned clinical trial or future clinical trials, disrupt regulatory activities, or have other adverse effects on our business and operations. In addition, this pandemic has caused substantial disruption in the financial markets and may adversely impact economies worldwide, which could negatively impact our operations and our ability to raise additional capital following this offering.</w:t>
      </w:r>
    </w:p>
    <w:p>
      <w:pPr>
        <w:spacing w:after="0" w:line="143"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ongoing COVID-19 pandemic and identification of new variants of the virus has broadly affected the global economy, resulted in significant travel and work restrictions in many regions and has put a significant strain on healthcare resources. The ultimate extent of the impact of the COVID-19 pandemic on our business, financial condition and results of operations is highly uncertain and will depend on continued developments, including any new variants, and actions taken by government authorities and businesses to contain or prevent the further spread of COVID-19. The continuation of the worldwide COVID-19 pandemic may affect our ability to initiate and complete preclinical studies, delay the initiation of our planned clinical trials, disrupt regulatory activities or have other adverse effects on our business, results of operations, financial condition and prospects. In addition, the ongoing COVID-19 pandemic has adversely impacted economies worldwide and may cause substantial disruption in the financial markets, both of which could adversely affect our business, operations and ability to raise funds to support our operations.</w:t>
      </w:r>
    </w:p>
    <w:p>
      <w:pPr>
        <w:spacing w:after="0" w:line="124"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The future progression of the pandemic and its effects on our business and operations are uncertain. We and our CMOs and CROs have experienced a reduction in the capacity to undertake research-scale production and to execute some preclinical studies, and we may face disruptions that affect our ability to initiate and complete preclinical studies, and disruptions in procuring items that are essential for our research and development activities, such as raw materials used in the manufacture of any product candidates, laboratory supplies used in our preclinical studies, or animals that are used for preclinical testing for which there are shortages because of ongoing efforts to address the pandemic. Further, since the beginning of the COVID-19 pandemic, three vaccines received Emergency Use Authorizations and one of those later received marketing approval in August 2021.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We and our CROs and CMOs may face disruptions related to our future IND- or CTA-enabling studies and clinical trials arising from delays in preclinical studies, manufacturing disruptions, and the ability to obtain necessary IRB, IBC or other necessary site approvals, as well as other delays at clinical trial sites.</w:t>
      </w:r>
    </w:p>
    <w:p>
      <w:pPr>
        <w:spacing w:after="0" w:line="126" w:lineRule="exact"/>
        <w:rPr>
          <w:sz w:val="20"/>
          <w:szCs w:val="20"/>
          <w:color w:val="auto"/>
        </w:rPr>
      </w:pPr>
    </w:p>
    <w:p>
      <w:pPr>
        <w:ind w:right="140" w:firstLine="449"/>
        <w:spacing w:after="0" w:line="314" w:lineRule="auto"/>
        <w:rPr>
          <w:sz w:val="20"/>
          <w:szCs w:val="20"/>
          <w:color w:val="auto"/>
        </w:rPr>
      </w:pPr>
      <w:r>
        <w:rPr>
          <w:rFonts w:ascii="Arial" w:cs="Arial" w:eastAsia="Arial" w:hAnsi="Arial"/>
          <w:sz w:val="15"/>
          <w:szCs w:val="15"/>
          <w:color w:val="auto"/>
        </w:rPr>
        <w:t>The response to the ongoing COVID-19 pandemic may also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 The pandemic has already caused significant disruptions in worldwide financial markets, and may continue to cause such disruptions, which could impact our ability to raise additional funds through public offerings and may also impact the volatility of our stock price and trading in our stock. We cannot be certain what the overall impact of the ongoing COVID-19 pandemic will be on our business, although for the reasons described above it has the potential to adversely affect our financial condition, results of operations and prospects.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177" w:lineRule="exact"/>
        <w:rPr>
          <w:sz w:val="20"/>
          <w:szCs w:val="20"/>
          <w:color w:val="auto"/>
        </w:rPr>
      </w:pPr>
    </w:p>
    <w:p>
      <w:pPr>
        <w:ind w:right="580"/>
        <w:spacing w:after="0" w:line="331" w:lineRule="auto"/>
        <w:rPr>
          <w:sz w:val="20"/>
          <w:szCs w:val="20"/>
          <w:color w:val="auto"/>
        </w:rPr>
      </w:pPr>
      <w:r>
        <w:rPr>
          <w:rFonts w:ascii="Arial" w:cs="Arial" w:eastAsia="Arial" w:hAnsi="Arial"/>
          <w:sz w:val="16"/>
          <w:szCs w:val="16"/>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87"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Prior to this offering, there has been no public market for shares of our common stock. You may not be able to sell your shares quickly or at the market price if trading in shares of our common stock is not active.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initial public offering price for our common stock will be determined through negotiations with the underwriters, and the negotiated price may not be indicative of the market price of the common stock after the offering. An active or liquid market in our common stock may not develop upon the completion of this offering or, if it does develop, it may not be sustainable. As a result of these and other factors, you may be unable to resell your shares of our common stock at or above the initial public offering price.</w:t>
      </w:r>
    </w:p>
    <w:p>
      <w:pPr>
        <w:spacing w:after="0" w:line="143" w:lineRule="exact"/>
        <w:rPr>
          <w:sz w:val="20"/>
          <w:szCs w:val="20"/>
          <w:color w:val="auto"/>
        </w:rPr>
      </w:pPr>
    </w:p>
    <w:p>
      <w:pPr>
        <w:ind w:right="320" w:firstLine="449"/>
        <w:spacing w:after="0" w:line="268" w:lineRule="auto"/>
        <w:rPr>
          <w:sz w:val="20"/>
          <w:szCs w:val="20"/>
          <w:color w:val="auto"/>
        </w:rPr>
      </w:pPr>
      <w:r>
        <w:rPr>
          <w:rFonts w:ascii="Arial" w:cs="Arial" w:eastAsia="Arial" w:hAnsi="Arial"/>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71" w:lineRule="exact"/>
        <w:rPr>
          <w:sz w:val="20"/>
          <w:szCs w:val="20"/>
          <w:color w:val="auto"/>
        </w:rPr>
      </w:pPr>
    </w:p>
    <w:p>
      <w:pPr>
        <w:ind w:right="60" w:firstLine="449"/>
        <w:spacing w:after="0" w:line="304" w:lineRule="auto"/>
        <w:rPr>
          <w:sz w:val="20"/>
          <w:szCs w:val="20"/>
          <w:color w:val="auto"/>
        </w:rPr>
      </w:pPr>
      <w:r>
        <w:rPr>
          <w:rFonts w:ascii="Arial" w:cs="Arial" w:eastAsia="Arial" w:hAnsi="Arial"/>
          <w:sz w:val="15"/>
          <w:szCs w:val="15"/>
          <w:color w:val="auto"/>
        </w:rPr>
        <w:t>The initial public offering price of our common stock will be substantially higher than the as adjusted net tangible book value per share of our common stock after this offering. Therefore, if you purchase shares of our common stock in this offering, you will pay a price per share that substantially exceeds our as</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adjusted net tangible book value per share after this offering. Based on our net tangible book value as of , 2021 and an assumed initial public offering price of $ per share, which is the midpoint of the price range set forth on the cover of this prospectus, you will experience immediate dilution of</w:t>
      </w:r>
    </w:p>
    <w:p>
      <w:pPr>
        <w:spacing w:after="0" w:line="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per share, representing the difference between our as adjusted net tangible book value per share after this offering and the initial public offering price.</w:t>
      </w:r>
    </w:p>
    <w:p>
      <w:pPr>
        <w:spacing w:after="0" w:line="3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addition, as of , 2021, we had outstanding stock options to purchase an aggregate of shares of common stock at a weighted average exercise price of $ per share. To the extent these outstanding options are exercised, you will incur further dilution.</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32"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Any debt financing or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120"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or on terms acceptable to us, we may be required to delay, limit, reduce or eliminate some or all of our research and development programs, pipeline expansion or future commercialization efforts or grant rights to develop and market product candidates that we would otherwise prefer to develop and market ourselves.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32"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currently have and may never obtain research coverage by industry or financial analysts. There can be no assurance that analysts will cover us. There is also no assurance that any covering analysts will provide favorable coverage. Even if we do obtain analyst coverage,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one or more of the analysts covering our business downgrade their evaluations of our stock or publish inaccurate or unfavorable research about our business, or provide more favorable relative recommendations about our competitors, the price of our stock could decline.</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32"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Prior to this offering, our stock was not publicly traded on any stock exchange or over-the-counter quotation system. In connection with this offering, we intend to apply to list our common stock for trading on the Nasdaq Global Market. Even if admitted for trading, our stock price is likely to be volatile. The stock market in general, and the market for smaller biopharmaceutical companies in particular, have experienced extreme price volatility and volume fluctuations that have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56" w:lineRule="exact"/>
        <w:rPr>
          <w:sz w:val="20"/>
          <w:szCs w:val="20"/>
          <w:color w:val="auto"/>
        </w:rPr>
      </w:pPr>
    </w:p>
    <w:p>
      <w:pPr>
        <w:ind w:left="880" w:right="200" w:hanging="427"/>
        <w:spacing w:after="0" w:line="268"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timing and results of, or developments in, preclinical studies and clinical trials of our product candidates or those of our competitors or potential collaborators;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marketing approvals for our product candidates;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success in commercializing any product candidates that may be approved;</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w:t>
      </w:r>
    </w:p>
    <w:p>
      <w:pPr>
        <w:spacing w:after="0" w:line="211" w:lineRule="exact"/>
        <w:rPr>
          <w:rFonts w:ascii="Arial" w:cs="Arial" w:eastAsia="Arial" w:hAnsi="Arial"/>
          <w:sz w:val="18"/>
          <w:szCs w:val="18"/>
          <w:color w:val="auto"/>
        </w:rPr>
      </w:pPr>
    </w:p>
    <w:p>
      <w:pPr>
        <w:ind w:left="880" w:right="120" w:hanging="427"/>
        <w:spacing w:after="0" w:line="331" w:lineRule="auto"/>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27" w:lineRule="exact"/>
        <w:rPr>
          <w:rFonts w:ascii="Arial" w:cs="Arial" w:eastAsia="Arial" w:hAnsi="Arial"/>
          <w:sz w:val="16"/>
          <w:szCs w:val="16"/>
          <w:color w:val="auto"/>
        </w:rPr>
      </w:pPr>
    </w:p>
    <w:p>
      <w:pPr>
        <w:ind w:left="880" w:hanging="427"/>
        <w:spacing w:after="0"/>
        <w:tabs>
          <w:tab w:leader="none" w:pos="8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actual or anticipated changes in estimates as to our financial results, development timelines or recommendations by securities analysts;</w:t>
      </w:r>
    </w:p>
    <w:p>
      <w:pPr>
        <w:spacing w:after="0" w:line="234" w:lineRule="exact"/>
        <w:rPr>
          <w:rFonts w:ascii="Arial" w:cs="Arial" w:eastAsia="Arial" w:hAnsi="Arial"/>
          <w:sz w:val="16"/>
          <w:szCs w:val="16"/>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directors or principal stockholders or others;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880" w:right="140" w:hanging="427"/>
        <w:spacing w:after="0" w:line="268"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conditions resulting from the effects of the ongoing COVID-19 pandemic; and</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Any of the factors listed above could materially adversely affect your investment in our common stock, and our common stock may trade at prices significantly below the initial public offering price, which could contribute to a loss of all or part of your investment. In such circumstances the trading price of our common stock may not recover and may experience a further decline.</w:t>
      </w:r>
    </w:p>
    <w:p>
      <w:pPr>
        <w:spacing w:after="0" w:line="14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our business, financial condition, stock price and results of operations.</w:t>
      </w:r>
    </w:p>
    <w:p>
      <w:pPr>
        <w:spacing w:after="0" w:line="194"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2008 global financial crisis caused extreme volatility and disruptions in the capital and credit markets. A severe or prolonged economic downturn resulting from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2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their affiliates, if they choose to act together, will continue to have the ability to significantly influence all matters submitted to stockholders for approval.</w:t>
      </w:r>
    </w:p>
    <w:p>
      <w:pPr>
        <w:spacing w:after="0" w:line="132"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Upon the closing of this offering, based on the number of shares outstanding as of , and giving effect to the issuance of shares of our common stock in this offering, assuming no exercise by the underwriters of their option to purchase additional shares of our common stock, our executive officers and directors and their affiliates will, in the aggregate, beneficially own shares representing approximately % of our outstanding common stock. As a result, if these stockholders were to choose to act together, they would be able to significantly influence all matters submitted to our stockholders for approval, as well as our management and affairs, even though some of these persons or entities may have interests different than yours. For example, these stockholders, if they choose to act together, could significantly influence the election of directors and approval of any merger, consolidation or sale of all or substantially all of our assets.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concentration of ownership may:</w:t>
      </w:r>
    </w:p>
    <w:p>
      <w:pPr>
        <w:spacing w:after="0" w:line="212" w:lineRule="exact"/>
        <w:rPr>
          <w:sz w:val="20"/>
          <w:szCs w:val="20"/>
          <w:color w:val="auto"/>
        </w:rPr>
      </w:pPr>
    </w:p>
    <w:p>
      <w:pPr>
        <w:ind w:left="880" w:hanging="427"/>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delay, defer or prevent a merger, consolidation or sale of all or substantially all of our assets that may be desired by other stockholders;</w:t>
      </w:r>
    </w:p>
    <w:p>
      <w:pPr>
        <w:spacing w:after="0" w:line="234" w:lineRule="exact"/>
        <w:rPr>
          <w:rFonts w:ascii="Arial" w:cs="Arial" w:eastAsia="Arial" w:hAnsi="Arial"/>
          <w:sz w:val="16"/>
          <w:szCs w:val="16"/>
          <w:color w:val="auto"/>
        </w:rPr>
      </w:pPr>
    </w:p>
    <w:p>
      <w:pPr>
        <w:ind w:left="880" w:hanging="427"/>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delay, defer or prevent a change in control transaction involving us that other stockholders may desire; or</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entrench our management and board of directors.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459" w:right="3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our net proceeds from this offering.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32" w:lineRule="exact"/>
        <w:rPr>
          <w:sz w:val="20"/>
          <w:szCs w:val="20"/>
          <w:color w:val="auto"/>
        </w:rPr>
      </w:pPr>
    </w:p>
    <w:p>
      <w:pPr>
        <w:ind w:right="120" w:firstLine="449"/>
        <w:spacing w:after="0" w:line="369"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drop significantly, even if our business is doing well.</w:t>
      </w:r>
    </w:p>
    <w:p>
      <w:pPr>
        <w:spacing w:after="0" w:line="132" w:lineRule="exact"/>
        <w:rPr>
          <w:sz w:val="20"/>
          <w:szCs w:val="20"/>
          <w:color w:val="auto"/>
        </w:rPr>
      </w:pPr>
    </w:p>
    <w:p>
      <w:pPr>
        <w:ind w:right="220" w:firstLine="449"/>
        <w:spacing w:after="0" w:line="284"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impair our ability to raise capital through the sale of additional equity securities, and make it more difficult for you to sell your common stock at a time and price that you deem appropriate. After this offering, we will have</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shares of common stock outstanding based on the number of shares outstanding as of . This includes the shares that we are selling in this offering, which may be resold in the public market immediately without restriction, unless purchased by our affiliates. As of the date of this prospectus, shares</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of our common stock are restricted as a result of securities laws or lock-up agreements entered into in connection with this offering but will become eligible to be sold at various times after the offering as described below and in the section of this prospectus titled “Shares eligible for future sale.”</w:t>
      </w:r>
    </w:p>
    <w:p>
      <w:pPr>
        <w:spacing w:after="0" w:line="92"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Following the expiration of the lock-up agreements described above, an aggregate of shares of common stock will become eligible for sale in the public market, subject to applicable securities laws. The representatives of the underwriters, in their sole discretion, may release some or all of the securities subject to these lock-up agreements at any time, which would allow for earlier sales of shares in the public market. All other outstanding shares of our common stock may be freely sold in the public market at any time, subject to applicable securities laws, as described in the section of this prospectus titled “Shares eligible for future sale.”</w:t>
      </w:r>
    </w:p>
    <w:p>
      <w:pPr>
        <w:spacing w:after="0" w:line="147"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Moreover, holders of an aggregate of shares of our common stock will have rights, subject to specified conditions, to require us to file registration statements covering their shares or to include their shares in registration statements that we may file for ourselves or other stockholders. We also intend to file a registration statement on Form S-8 to register all of the shares of common stock that we are able to issue under our equity compensation plans. Shares registered under these registration statements on Form S-8 can be freely sold in the public market upon issuance, subject to volume limitations applicable to affiliates, vesting arrangements, exercise of options and the lock-up agreements.</w:t>
      </w:r>
    </w:p>
    <w:p>
      <w:pPr>
        <w:spacing w:after="0" w:line="115" w:lineRule="exact"/>
        <w:rPr>
          <w:sz w:val="20"/>
          <w:szCs w:val="20"/>
          <w:color w:val="auto"/>
        </w:rPr>
      </w:pPr>
    </w:p>
    <w:p>
      <w:pPr>
        <w:ind w:right="480"/>
        <w:spacing w:after="0" w:line="33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87"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2026, although if the market value of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9"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that is held by non-affiliates exceeds $700.0 million as of any June 30 before that time or if we have annual gross revenues of $1.07 billion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more in any fiscal year, we would cease to be an EGC as of December 31 of the applicable year. We also would cease to be an EGC if we issue more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of non-convertible debt over a three-year period. For so long as we remain an EGC, we are permitted and intend to rely on exemptions from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disclosure requirements that are applicable to other public companies that are not EGCs. These exemptions include:</w:t>
      </w:r>
    </w:p>
    <w:p>
      <w:pPr>
        <w:spacing w:after="0" w:line="205" w:lineRule="exact"/>
        <w:rPr>
          <w:sz w:val="20"/>
          <w:szCs w:val="20"/>
          <w:color w:val="auto"/>
        </w:rPr>
      </w:pPr>
    </w:p>
    <w:p>
      <w:pPr>
        <w:ind w:left="880" w:hanging="427"/>
        <w:spacing w:after="0"/>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234" w:lineRule="exact"/>
        <w:rPr>
          <w:rFonts w:ascii="Arial" w:cs="Arial" w:eastAsia="Arial" w:hAnsi="Arial"/>
          <w:sz w:val="16"/>
          <w:szCs w:val="16"/>
          <w:color w:val="auto"/>
        </w:rPr>
      </w:pPr>
    </w:p>
    <w:p>
      <w:pPr>
        <w:ind w:left="880" w:right="20" w:hanging="427"/>
        <w:spacing w:after="0" w:line="331" w:lineRule="auto"/>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7" w:lineRule="exact"/>
        <w:rPr>
          <w:rFonts w:ascii="Arial" w:cs="Arial" w:eastAsia="Arial" w:hAnsi="Arial"/>
          <w:sz w:val="16"/>
          <w:szCs w:val="16"/>
          <w:color w:val="auto"/>
        </w:rPr>
      </w:pPr>
    </w:p>
    <w:p>
      <w:pPr>
        <w:ind w:left="880" w:hanging="427"/>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11" w:lineRule="exact"/>
        <w:rPr>
          <w:rFonts w:ascii="Arial" w:cs="Arial" w:eastAsia="Arial" w:hAnsi="Arial"/>
          <w:sz w:val="18"/>
          <w:szCs w:val="18"/>
          <w:color w:val="auto"/>
        </w:rPr>
      </w:pPr>
    </w:p>
    <w:p>
      <w:pPr>
        <w:ind w:left="880" w:right="420" w:hanging="427"/>
        <w:spacing w:after="0" w:line="268"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3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Even after we no longer qualify as an EGC,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 of 2002, or Section 404. In reliance on these exemptions, 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 or a smaller reporting company.</w:t>
      </w:r>
    </w:p>
    <w:p>
      <w:pPr>
        <w:spacing w:after="0" w:line="120" w:lineRule="exact"/>
        <w:rPr>
          <w:sz w:val="20"/>
          <w:szCs w:val="20"/>
          <w:color w:val="auto"/>
        </w:rPr>
      </w:pPr>
    </w:p>
    <w:p>
      <w:pPr>
        <w:ind w:right="40" w:firstLine="449"/>
        <w:spacing w:after="0" w:line="331" w:lineRule="auto"/>
        <w:rPr>
          <w:sz w:val="20"/>
          <w:szCs w:val="20"/>
          <w:color w:val="auto"/>
        </w:rPr>
      </w:pPr>
      <w:r>
        <w:rPr>
          <w:rFonts w:ascii="Arial" w:cs="Arial" w:eastAsia="Arial" w:hAnsi="Arial"/>
          <w:sz w:val="16"/>
          <w:szCs w:val="16"/>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8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to take advantage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irrevocably elect to “opt out” of such extended transition period or no longer qualify as an EGC. We may choose to early adopt any new or revised accounting standards whenever such early adoption is permitted for private companies.</w:t>
      </w:r>
    </w:p>
    <w:p>
      <w:pPr>
        <w:spacing w:after="0" w:line="14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32" w:lineRule="exact"/>
        <w:rPr>
          <w:sz w:val="20"/>
          <w:szCs w:val="20"/>
          <w:color w:val="auto"/>
        </w:rPr>
      </w:pPr>
    </w:p>
    <w:p>
      <w:pPr>
        <w:ind w:firstLine="449"/>
        <w:spacing w:after="0" w:line="317" w:lineRule="auto"/>
        <w:rPr>
          <w:sz w:val="20"/>
          <w:szCs w:val="20"/>
          <w:color w:val="auto"/>
        </w:rPr>
      </w:pPr>
      <w:r>
        <w:rPr>
          <w:rFonts w:ascii="Arial" w:cs="Arial" w:eastAsia="Arial" w:hAnsi="Arial"/>
          <w:sz w:val="15"/>
          <w:szCs w:val="15"/>
          <w:color w:val="auto"/>
        </w:rPr>
        <w:t>As a public company, and particularly after we are no longer an EGC or a smaller reporting company, we will incur significant legal, accounting and other expenses that we did not previously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 For example, we expect that these rules and regulations may make it more difficult and more expensive for us to obtain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members of our board of directors.</w:t>
      </w:r>
    </w:p>
    <w:p>
      <w:pPr>
        <w:spacing w:after="0" w:line="115" w:lineRule="exact"/>
        <w:rPr>
          <w:sz w:val="20"/>
          <w:szCs w:val="20"/>
          <w:color w:val="auto"/>
        </w:rPr>
      </w:pPr>
    </w:p>
    <w:p>
      <w:pPr>
        <w:ind w:right="220" w:firstLine="449"/>
        <w:spacing w:after="0" w:line="290" w:lineRule="auto"/>
        <w:rPr>
          <w:sz w:val="20"/>
          <w:szCs w:val="20"/>
          <w:color w:val="auto"/>
        </w:rPr>
      </w:pPr>
      <w:r>
        <w:rPr>
          <w:rFonts w:ascii="Arial" w:cs="Arial" w:eastAsia="Arial" w:hAnsi="Arial"/>
          <w:sz w:val="16"/>
          <w:szCs w:val="16"/>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18" w:lineRule="exact"/>
        <w:rPr>
          <w:sz w:val="20"/>
          <w:szCs w:val="20"/>
          <w:color w:val="auto"/>
        </w:rPr>
      </w:pPr>
    </w:p>
    <w:p>
      <w:pPr>
        <w:ind w:right="180" w:firstLine="449"/>
        <w:spacing w:after="0" w:line="285"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beginning with our second filing of our Annual Report on Form 10-K with the SEC. However, while we remain an EGC or a smaller reporting company with less than</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$100 million in annual revenue,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0"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118"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459" w:right="3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EGC under the JOBS Act or a smaller reporting company with less than $100 million in annual revenue, our independent registered public accounting firm will not be required to attest to the effectiveness of our internal control over financial reporting pursuant to Section 404. We could be an EGC for up to five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115" w:lineRule="exact"/>
        <w:rPr>
          <w:sz w:val="20"/>
          <w:szCs w:val="20"/>
          <w:color w:val="auto"/>
        </w:rPr>
      </w:pPr>
    </w:p>
    <w:p>
      <w:pPr>
        <w:ind w:right="20"/>
        <w:spacing w:after="0" w:line="369" w:lineRule="auto"/>
        <w:rPr>
          <w:sz w:val="20"/>
          <w:szCs w:val="20"/>
          <w:color w:val="auto"/>
        </w:rPr>
      </w:pPr>
      <w:r>
        <w:rPr>
          <w:rFonts w:ascii="Arial" w:cs="Arial" w:eastAsia="Arial" w:hAnsi="Arial"/>
          <w:sz w:val="15"/>
          <w:szCs w:val="15"/>
          <w:b w:val="1"/>
          <w:bCs w:val="1"/>
          <w:i w:val="1"/>
          <w:iCs w:val="1"/>
          <w:color w:val="auto"/>
        </w:rPr>
        <w:t>Anti-takeover 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64"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Anti-takeover provisions in our amended and restated certificate of incorporation and our amended and restated bylaws to be effective upon the completion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880" w:hanging="427"/>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11" w:lineRule="exact"/>
        <w:rPr>
          <w:rFonts w:ascii="Arial" w:cs="Arial" w:eastAsia="Arial" w:hAnsi="Arial"/>
          <w:sz w:val="18"/>
          <w:szCs w:val="18"/>
          <w:color w:val="auto"/>
        </w:rPr>
      </w:pPr>
    </w:p>
    <w:p>
      <w:pPr>
        <w:ind w:left="880" w:hanging="427"/>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11" w:lineRule="exact"/>
        <w:rPr>
          <w:rFonts w:ascii="Arial" w:cs="Arial" w:eastAsia="Arial" w:hAnsi="Arial"/>
          <w:sz w:val="18"/>
          <w:szCs w:val="18"/>
          <w:color w:val="auto"/>
        </w:rPr>
      </w:pPr>
    </w:p>
    <w:p>
      <w:pPr>
        <w:ind w:left="880" w:right="380" w:hanging="427"/>
        <w:spacing w:after="0" w:line="268"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34" w:lineRule="exact"/>
        <w:rPr>
          <w:rFonts w:ascii="Arial" w:cs="Arial" w:eastAsia="Arial" w:hAnsi="Arial"/>
          <w:sz w:val="16"/>
          <w:szCs w:val="16"/>
          <w:color w:val="auto"/>
        </w:rPr>
      </w:pPr>
    </w:p>
    <w:p>
      <w:pPr>
        <w:ind w:left="880" w:hanging="427"/>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11" w:lineRule="exact"/>
        <w:rPr>
          <w:rFonts w:ascii="Arial" w:cs="Arial" w:eastAsia="Arial" w:hAnsi="Arial"/>
          <w:sz w:val="18"/>
          <w:szCs w:val="18"/>
          <w:color w:val="auto"/>
        </w:rPr>
      </w:pPr>
    </w:p>
    <w:p>
      <w:pPr>
        <w:jc w:val="both"/>
        <w:ind w:left="880" w:right="120" w:hanging="427"/>
        <w:spacing w:after="0" w:line="259"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80" w:lineRule="exact"/>
        <w:rPr>
          <w:rFonts w:ascii="Arial" w:cs="Arial" w:eastAsia="Arial" w:hAnsi="Arial"/>
          <w:sz w:val="18"/>
          <w:szCs w:val="18"/>
          <w:color w:val="auto"/>
        </w:rPr>
      </w:pPr>
    </w:p>
    <w:p>
      <w:pPr>
        <w:ind w:left="880" w:right="280" w:hanging="427"/>
        <w:spacing w:after="0" w:line="268"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66.7% of the votes that all our stockholders would be entitled to cast to amend or repeal specified provisions of our certificate of incorporation or bylaws.</w:t>
      </w:r>
    </w:p>
    <w:p>
      <w:pPr>
        <w:spacing w:after="0" w:line="132"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Our amended and restated bylaws to be effective upon the completion of this offering will designate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143" w:lineRule="exact"/>
        <w:rPr>
          <w:sz w:val="20"/>
          <w:szCs w:val="20"/>
          <w:color w:val="auto"/>
        </w:rPr>
      </w:pPr>
    </w:p>
    <w:p>
      <w:pPr>
        <w:jc w:val="both"/>
        <w:ind w:right="100" w:firstLine="449"/>
        <w:spacing w:after="0" w:line="306"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the following types of actions or proceedings under Delaware statutory or common law:</w:t>
      </w:r>
    </w:p>
    <w:p>
      <w:pPr>
        <w:spacing w:after="0" w:line="147" w:lineRule="exact"/>
        <w:rPr>
          <w:sz w:val="20"/>
          <w:szCs w:val="20"/>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11" w:lineRule="exact"/>
        <w:rPr>
          <w:rFonts w:ascii="Arial" w:cs="Arial" w:eastAsia="Arial" w:hAnsi="Arial"/>
          <w:sz w:val="18"/>
          <w:szCs w:val="18"/>
          <w:color w:val="auto"/>
        </w:rPr>
      </w:pPr>
    </w:p>
    <w:p>
      <w:pPr>
        <w:ind w:left="880" w:right="80" w:hanging="427"/>
        <w:spacing w:after="0" w:line="268"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stockholders to our company or our stockholders;</w:t>
      </w:r>
    </w:p>
    <w:p>
      <w:pPr>
        <w:spacing w:after="0" w:line="172" w:lineRule="exact"/>
        <w:rPr>
          <w:rFonts w:ascii="Arial" w:cs="Arial" w:eastAsia="Arial" w:hAnsi="Arial"/>
          <w:sz w:val="18"/>
          <w:szCs w:val="18"/>
          <w:color w:val="auto"/>
        </w:rPr>
      </w:pPr>
    </w:p>
    <w:p>
      <w:pPr>
        <w:ind w:left="880" w:right="20" w:hanging="427"/>
        <w:spacing w:after="0" w:line="268"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as to which the DGCL confers jurisdiction on the Court of Chancery of the State of Delaware; or</w:t>
      </w:r>
    </w:p>
    <w:p>
      <w:pPr>
        <w:spacing w:after="0" w:line="172" w:lineRule="exact"/>
        <w:rPr>
          <w:rFonts w:ascii="Arial" w:cs="Arial" w:eastAsia="Arial" w:hAnsi="Arial"/>
          <w:sz w:val="18"/>
          <w:szCs w:val="18"/>
          <w:color w:val="auto"/>
        </w:rPr>
      </w:pPr>
    </w:p>
    <w:p>
      <w:pPr>
        <w:ind w:left="880" w:right="140" w:hanging="427"/>
        <w:spacing w:after="0" w:line="268" w:lineRule="auto"/>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132" w:lineRule="exact"/>
        <w:rPr>
          <w:sz w:val="20"/>
          <w:szCs w:val="20"/>
          <w:color w:val="auto"/>
        </w:rPr>
      </w:pPr>
    </w:p>
    <w:p>
      <w:pPr>
        <w:ind w:right="120" w:firstLine="449"/>
        <w:spacing w:after="0" w:line="287" w:lineRule="auto"/>
        <w:rPr>
          <w:sz w:val="20"/>
          <w:szCs w:val="20"/>
          <w:color w:val="auto"/>
        </w:rPr>
      </w:pPr>
      <w:r>
        <w:rPr>
          <w:rFonts w:ascii="Arial" w:cs="Arial" w:eastAsia="Arial" w:hAnsi="Arial"/>
          <w:sz w:val="16"/>
          <w:szCs w:val="16"/>
          <w:color w:val="auto"/>
        </w:rPr>
        <w:t>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bylaws provide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2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the either exclusive forum provision contained in our amended and restated bylaws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1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may not be able to satisfy listing requirements of the Nasdaq Global Market or obtain or maintain a listing of our common stock on the Nasdaq Global Market.</w:t>
      </w:r>
    </w:p>
    <w:p>
      <w:pPr>
        <w:spacing w:after="0" w:line="132"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If our common stock is listed on the Nasdaq Global Market, we must meet certain financial and liquidity criteria to maintain such listing. If we violate or fail to meet any of the Nasdaq Global Market‘s listing standards, our common stock may be delisted. In addition, our board of directors may determine that the cost of maintaining our listing on a national securities exchange outweighs the benefits of such listing. A delisting of our common stock from the Nasdaq Global Market may materially impair our stockholders’ ability to buy and sell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laws or regulations or in their implementation or interpretation may adversely affect our business and financial condition.</w:t>
      </w:r>
    </w:p>
    <w:p>
      <w:pPr>
        <w:spacing w:after="0" w:line="19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or financial condition. Further, existing tax laws, statutes, rules, regulations or ordinances could be interpreted, changed, modified or applied adversely to us. A number of other factors could materially adversely affect our business and financial condition including: tax policy initiatives and reforms under consideration (such as those related to the Organization for Economic Co-Operation and Development’s, or OECD, Base Erosion and Profit Shifting, or BEPS, Project, the European Commission’s state aid investigations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118" w:lineRule="exact"/>
        <w:rPr>
          <w:sz w:val="20"/>
          <w:szCs w:val="20"/>
          <w:color w:val="auto"/>
        </w:rPr>
      </w:pPr>
    </w:p>
    <w:p>
      <w:pPr>
        <w:ind w:right="40" w:firstLine="449"/>
        <w:spacing w:after="0" w:line="314" w:lineRule="auto"/>
        <w:rPr>
          <w:sz w:val="20"/>
          <w:szCs w:val="20"/>
          <w:color w:val="auto"/>
        </w:rPr>
      </w:pPr>
      <w:r>
        <w:rPr>
          <w:rFonts w:ascii="Arial" w:cs="Arial" w:eastAsia="Arial" w:hAnsi="Arial"/>
          <w:sz w:val="15"/>
          <w:szCs w:val="15"/>
          <w:color w:val="auto"/>
        </w:rPr>
        <w:t>The U.S. government may enact significant new changes to the taxation of business entities including, among others, an increase in the corporate income tax rate. Furthermore, 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04" w:lineRule="exact"/>
        <w:rPr>
          <w:sz w:val="20"/>
          <w:szCs w:val="20"/>
          <w:color w:val="auto"/>
        </w:rPr>
      </w:pPr>
    </w:p>
    <w:p>
      <w:pPr>
        <w:ind w:right="180" w:firstLine="449"/>
        <w:spacing w:after="0" w:line="294" w:lineRule="auto"/>
        <w:rPr>
          <w:sz w:val="20"/>
          <w:szCs w:val="20"/>
          <w:color w:val="auto"/>
        </w:rPr>
      </w:pPr>
      <w:r>
        <w:rPr>
          <w:rFonts w:ascii="Arial" w:cs="Arial" w:eastAsia="Arial" w:hAnsi="Arial"/>
          <w:sz w:val="16"/>
          <w:szCs w:val="16"/>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32"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A tax authority may disagree with tax positions that we take, which could result in increased tax liabilities. For example, Her Majesty’s Revenue &amp; Customs,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44"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A tax authority may take the position that material income tax liabilities, interest and penalties are payable by us, in which case we expect that we might contest such assessment. Contesting such an assessment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lengthy and costly and if we were unsuccessful in disputing the assessment, the implications could increase our anticipated effective tax rate, where applicable.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subject to limitations.</w:t>
      </w:r>
    </w:p>
    <w:p>
      <w:pPr>
        <w:spacing w:after="0" w:line="17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NOLs, or research and development tax credit carryforwards. As of December 31, 2020, we had federal NOL carryforwards of $0.1 million and had generated UK NOLs of $4.3 million, which, in the case of UK NOLs, are subject to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and which, subject to the above restrictions and potential future changes in law, and to any potential restructuring or changes in the nature of our operations, may be eligible for carry forward against future operating profits and/or other taxable profits or gains.</w:t>
      </w:r>
    </w:p>
    <w:p>
      <w:pPr>
        <w:spacing w:after="0" w:line="118" w:lineRule="exact"/>
        <w:rPr>
          <w:sz w:val="20"/>
          <w:szCs w:val="20"/>
          <w:color w:val="auto"/>
        </w:rPr>
      </w:pPr>
    </w:p>
    <w:p>
      <w:pPr>
        <w:ind w:right="100" w:firstLine="449"/>
        <w:spacing w:after="0" w:line="286" w:lineRule="auto"/>
        <w:rPr>
          <w:sz w:val="20"/>
          <w:szCs w:val="20"/>
          <w:color w:val="auto"/>
        </w:rPr>
      </w:pPr>
      <w:r>
        <w:rPr>
          <w:rFonts w:ascii="Arial" w:cs="Arial" w:eastAsia="Arial" w:hAnsi="Arial"/>
          <w:sz w:val="16"/>
          <w:szCs w:val="16"/>
          <w:color w:val="auto"/>
        </w:rPr>
        <w:t>As a company that carries out extensive research and development activities, we seek to benefit from the U.K. research and development tax relief programs, being the Small and Medium-sized Enterprises R&amp;D tax relief program, or SME Program, and, to the extent that our projects are grant funded or relate to work subcontracted to the company by third parties, the Research and Development Expenditure Credit program, or RDEC Program. Under the SME Program, we may be able to surrender the trading losses that arise from our qualifying research and development activities for a cash rebate of up to 14.5% of the surrenderable losses. The majority of our research and development activities are eligible for inclusion within these tax credit cash rebate claims. We may not be able to continue to claim payable research and development tax credits in the future if we cease to qualify as an SME, based on size criteria concerning employee headcount, turnover and gross assets. The U.K. Finance Act of 2021 introduced a cap on payable credit claims under the SME Program in excess of £20,000 with effect from April 2021 by reference to, broadly, three times the total PAYE and NICs liability of the company, subject to an exception which prevents the cap from applying. That exception requires the company to be creating, taking steps to create or managing intellectual property, as well as having qualifying research and development expenditure in respect of connected parties which does not exceed 15% of the total qualifying expenditure. If such exception does not apply, this could restrict the amount of credit that we are able to claim.</w:t>
      </w:r>
    </w:p>
    <w:p>
      <w:pPr>
        <w:spacing w:after="0" w:line="126" w:lineRule="exact"/>
        <w:rPr>
          <w:sz w:val="20"/>
          <w:szCs w:val="20"/>
          <w:color w:val="auto"/>
        </w:rPr>
      </w:pPr>
    </w:p>
    <w:p>
      <w:pPr>
        <w:ind w:right="80" w:firstLine="449"/>
        <w:spacing w:after="0" w:line="314" w:lineRule="auto"/>
        <w:rPr>
          <w:sz w:val="20"/>
          <w:szCs w:val="20"/>
          <w:color w:val="auto"/>
        </w:rPr>
      </w:pPr>
      <w:r>
        <w:rPr>
          <w:rFonts w:ascii="Arial" w:cs="Arial" w:eastAsia="Arial" w:hAnsi="Arial"/>
          <w:sz w:val="15"/>
          <w:szCs w:val="15"/>
          <w:color w:val="auto"/>
        </w:rPr>
        <w:t>For U.S. federal income tax purposes, in general, under Sections 382 and 383 of the U.S. Internal Revenue Code of 1986, as amended, or the Code,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pre-change research and development tax credit carryforwards to offset post-change income or taxes. We have not conducted a study to assess whether any such ownership changes have occurred. We may experience such ownership changes in the future. As a result, if, and to the extent that, we earn net taxable income, our ability to use our NOL carryforwards and research and development tax credit carryforwards to offset such taxable income may be subject to limitations.</w:t>
      </w:r>
    </w:p>
    <w:p>
      <w:pPr>
        <w:spacing w:after="0" w:line="104"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Additionally, the use of the UK NOL carryforwards could be restricted, under Part 14 of the Corporation Tax Act 2010, if a “change in ownership” of either PepGen Inc. or PepGen Limited were to occur and certain other conditions are met. A “change in ownership” is defined, broadly, as the acquisition by one or more persons of more than half of the ordinary share capital of a company. The use of the UK NOL carryforwards could be restricted if, within a certain period of a change in ownership, there is a major change in the conduct of PepGen Limited’s trade, PepGen Limited’s trading activities become small or negligible, or if certain other conditions are met.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Any restructuring or change in the nature of our operations of our company may give rise to tax liabilities and/or restrictions in the amount and/or availability of tax attributes.</w:t>
      </w:r>
    </w:p>
    <w:p>
      <w:pPr>
        <w:spacing w:after="0" w:line="132" w:lineRule="exact"/>
        <w:rPr>
          <w:sz w:val="20"/>
          <w:szCs w:val="20"/>
          <w:color w:val="auto"/>
        </w:rPr>
      </w:pPr>
    </w:p>
    <w:p>
      <w:pPr>
        <w:jc w:val="both"/>
        <w:ind w:right="440" w:firstLine="449"/>
        <w:spacing w:after="0" w:line="306" w:lineRule="auto"/>
        <w:rPr>
          <w:sz w:val="20"/>
          <w:szCs w:val="20"/>
          <w:color w:val="auto"/>
        </w:rPr>
      </w:pPr>
      <w:r>
        <w:rPr>
          <w:rFonts w:ascii="Arial" w:cs="Arial" w:eastAsia="Arial" w:hAnsi="Arial"/>
          <w:sz w:val="16"/>
          <w:szCs w:val="16"/>
          <w:color w:val="auto"/>
        </w:rPr>
        <w:t>We may in the future undertake changes in the nature or conduct of our operations, which may include (inter alia) transferring assets of our wholly-owned UK subsidiary PepGen Limited to PepGen Inc. or migrating functions undertaken by and/or employees engaged by our UK subsidiary to PepGen Inc. Any such action could give rise to tax liabilities for us and/or to the erosion of our tax attributes (such as net operating losses).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subject to certain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w:t>
      </w:r>
    </w:p>
    <w:p>
      <w:pPr>
        <w:spacing w:after="0" w:line="171"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significant foreign exchange risk.</w:t>
      </w:r>
    </w:p>
    <w:p>
      <w:pPr>
        <w:spacing w:after="0" w:line="171"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We incur portions of our expenses, and may in the future derive revenues, in a variety of currencies. As a result, we are exposed to foreign currency exchange risk as our results of operations and cash flows are subject to fluctuations in foreign currency exchange rates. Fluctuations in currency exchange rates have had, and will continue to have, an impact on our results as expressed in U.S. dollars. We currently do not engage in hedging transactions to protect against uncertainty in future exchange rates between particular foreign currencies and the euro. We cannot predict the impact of foreign currency fluctuations, and foreign currency fluctuations in the future may adversely affect our financial condition, results of operations and cash flows.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8"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This prospectus, including the sections 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66" w:lineRule="exact"/>
        <w:rPr>
          <w:sz w:val="20"/>
          <w:szCs w:val="20"/>
          <w:color w:val="auto"/>
        </w:rPr>
      </w:pPr>
    </w:p>
    <w:p>
      <w:pPr>
        <w:ind w:left="880" w:right="240" w:hanging="427"/>
        <w:spacing w:after="0" w:line="306"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25" w:lineRule="exact"/>
        <w:rPr>
          <w:rFonts w:ascii="Arial" w:cs="Arial" w:eastAsia="Arial" w:hAnsi="Arial"/>
          <w:sz w:val="16"/>
          <w:szCs w:val="16"/>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90" w:lineRule="exact"/>
        <w:rPr>
          <w:rFonts w:ascii="Arial" w:cs="Arial" w:eastAsia="Arial" w:hAnsi="Arial"/>
          <w:sz w:val="18"/>
          <w:szCs w:val="18"/>
          <w:color w:val="auto"/>
        </w:rPr>
      </w:pPr>
    </w:p>
    <w:p>
      <w:pPr>
        <w:ind w:left="880" w:right="220" w:hanging="427"/>
        <w:spacing w:after="0" w:line="268"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necessary to complete further development and commercialization of our product candidates;</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use of the proceeds from this offering;</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140" w:hanging="427"/>
        <w:spacing w:after="0" w:line="331" w:lineRule="auto"/>
        <w:tabs>
          <w:tab w:leader="none" w:pos="8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effect of the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5" w:lineRule="exact"/>
        <w:rPr>
          <w:rFonts w:ascii="Arial" w:cs="Arial" w:eastAsia="Arial" w:hAnsi="Arial"/>
          <w:sz w:val="16"/>
          <w:szCs w:val="16"/>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7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Moreover, we operate in an evolving environment. New risk factors and uncertainties may emerge from time to time, and it is not possible for management to predict all risk factors and uncertainties. You should read this prospectus and the documents that we reference in this prospectus and have filed with the Securities and Exchange Commission as exhibits to the registration statement, of which this prospectus forms a part, completely and with the understanding that our actual future results may be materially different from any future results expressed or implied by these forward-looking statements.</w:t>
      </w:r>
    </w:p>
    <w:p>
      <w:pPr>
        <w:spacing w:after="0" w:line="12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43"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2"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This prospectus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ectPr>
          <w:pgSz w:w="11900" w:h="16838" w:orient="portrait"/>
          <w:cols w:equalWidth="0" w:num="1">
            <w:col w:w="11240"/>
          </w:cols>
          <w:pgMar w:left="320" w:top="459" w:right="339" w:bottom="1440" w:gutter="0" w:footer="0" w:header="0"/>
        </w:sectPr>
      </w:pPr>
    </w:p>
    <w:p>
      <w:pPr>
        <w:spacing w:after="0" w:line="191"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We estimate that the net proceeds from the sale of shares of our common stock in this offering will be approximately $ million, or $ million if the underwriters exercise in full their option to purchase additional shares, assuming an initial public offering price of $ share, which is the midpoint of the price range set forth on the cover page of this prospectus, and after deducting estimated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per</w:t>
      </w:r>
    </w:p>
    <w:p>
      <w:pPr>
        <w:spacing w:after="0" w:line="626" w:lineRule="exact"/>
        <w:rPr>
          <w:sz w:val="20"/>
          <w:szCs w:val="20"/>
          <w:color w:val="auto"/>
        </w:rPr>
      </w:pPr>
    </w:p>
    <w:p>
      <w:pPr>
        <w:sectPr>
          <w:pgSz w:w="11900" w:h="16838" w:orient="portrait"/>
          <w:cols w:equalWidth="0" w:num="2">
            <w:col w:w="10620" w:space="220"/>
            <w:col w:w="400"/>
          </w:cols>
          <w:pgMar w:left="320" w:top="459" w:right="339" w:bottom="1440" w:gutter="0" w:footer="0" w:header="0"/>
          <w:type w:val="continuous"/>
        </w:sectPr>
      </w:pPr>
    </w:p>
    <w:p>
      <w:pPr>
        <w:ind w:right="80" w:firstLine="449"/>
        <w:spacing w:after="0" w:line="284" w:lineRule="auto"/>
        <w:rPr>
          <w:sz w:val="20"/>
          <w:szCs w:val="20"/>
          <w:color w:val="auto"/>
        </w:rPr>
      </w:pPr>
      <w:r>
        <w:rPr>
          <w:rFonts w:ascii="Arial" w:cs="Arial" w:eastAsia="Arial" w:hAnsi="Arial"/>
          <w:sz w:val="16"/>
          <w:szCs w:val="16"/>
          <w:color w:val="auto"/>
        </w:rPr>
        <w:t>A $1.00 increase (decrease) in the assumed initial public offering price of $ per share, which is the midpoint of the price range set forth on the cover page of this prospectus, would increase (decrease) our net proceeds from this offering by $ million, assuming the number of shares offered by us, as set forth on the cover page of this prospectus, remains the same and after deducting estimated underwriting discounts and commissions and estimated</w:t>
      </w:r>
    </w:p>
    <w:p>
      <w:pPr>
        <w:sectPr>
          <w:pgSz w:w="11900" w:h="16838" w:orient="portrait"/>
          <w:cols w:equalWidth="0" w:num="1">
            <w:col w:w="11240"/>
          </w:cols>
          <w:pgMar w:left="320" w:top="459"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offering expenses payable by us. A 1.0 million share increase (decrease) in the number of shares offered by us, as set forth on the cover page of this prospectus,</w:t>
      </w:r>
    </w:p>
    <w:p>
      <w:pPr>
        <w:spacing w:after="0" w:line="44"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would increase (decrease) our net proceeds from this offering by $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 We do not expect that a change in the initial price to the public or the number of shares by these amounts would have a material effect on uses of the proceeds from this offering, although a decrease in the initial offering price without a corresponding increase in the number of shares offered may accelerate the time at which we will need to seek additional capital.</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currently expect to use our net proceeds from this offering, together with our existing cash, as follows:</w:t>
      </w:r>
    </w:p>
    <w:p>
      <w:pPr>
        <w:spacing w:after="0" w:line="90" w:lineRule="exact"/>
        <w:rPr>
          <w:sz w:val="20"/>
          <w:szCs w:val="20"/>
          <w:color w:val="auto"/>
        </w:rPr>
      </w:pPr>
    </w:p>
    <w:p>
      <w:pPr>
        <w:ind w:left="880" w:hanging="427"/>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to further develop our PGN-EDO51 program;</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to further develop our PGN-EDODM1 program;</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to further develop our PGN-EDO53 program;</w:t>
      </w:r>
    </w:p>
    <w:p>
      <w:pPr>
        <w:spacing w:after="0" w:line="90" w:lineRule="exact"/>
        <w:rPr>
          <w:sz w:val="20"/>
          <w:szCs w:val="20"/>
          <w:color w:val="auto"/>
        </w:rPr>
      </w:pPr>
    </w:p>
    <w:p>
      <w:pPr>
        <w:ind w:left="460"/>
        <w:spacing w:after="0"/>
        <w:tabs>
          <w:tab w:leader="none" w:pos="860" w:val="left"/>
          <w:tab w:leader="none" w:pos="2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to further develop our pipeline and platform; and</w:t>
      </w:r>
    </w:p>
    <w:p>
      <w:pPr>
        <w:spacing w:after="0" w:line="90" w:lineRule="exact"/>
        <w:rPr>
          <w:sz w:val="20"/>
          <w:szCs w:val="20"/>
          <w:color w:val="auto"/>
        </w:rPr>
      </w:pPr>
    </w:p>
    <w:p>
      <w:pPr>
        <w:ind w:left="880" w:hanging="427"/>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remaining proceeds for working capital and other general corporate purposes.</w:t>
      </w:r>
    </w:p>
    <w:p>
      <w:pPr>
        <w:spacing w:after="0" w:line="171"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expect that we will require additional funds in order to fully accomplish the specified uses of the proceeds of this offering. We may also use a portion of the net proceeds to in-license, acquire, or invest in complementary businesses or technologies to continue to build our pipeline, research and development capabilities and our intellectual property position, although we currently have no agreements, commitments, or understandings with respect to any such transaction.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current plans, we believe that our existing cash, together with the anticipated net proceeds from this offering, will enable us to fund our</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expenses and capital expenditure requirements into . The expected net proceeds from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4"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Due to the many inherent uncertainties in the development of our programs and product candidates, the amounts and timing of our actual expenditures may vary significantly depending on numerous factors, including the progress of our research and development, the timing of patient enrollment and evolving regulatory requirements, the timing and success of preclinical studies, our ongoing clinical trials or clinical trials we may commence in the future, the timing of regulatory submissions, any strategic alliances that we may enter into with third parties for our product candidates or strategic opportunities that become available to us, and any unforeseen cash needs.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323" w:lineRule="auto"/>
        <w:rPr>
          <w:sz w:val="20"/>
          <w:szCs w:val="20"/>
          <w:color w:val="auto"/>
        </w:rPr>
      </w:pPr>
      <w:r>
        <w:rPr>
          <w:rFonts w:ascii="Arial" w:cs="Arial" w:eastAsia="Arial" w:hAnsi="Arial"/>
          <w:sz w:val="15"/>
          <w:szCs w:val="15"/>
          <w:color w:val="auto"/>
        </w:rPr>
        <w:t>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 Our management will retain broad discretion in the application of the net proceeds we receive from our initial public offering, and investors will be relying on the judgment of our management regarding the application of the net proceeds.</w:t>
      </w:r>
    </w:p>
    <w:p>
      <w:pPr>
        <w:spacing w:after="0" w:line="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20"/>
          </w:cols>
          <w:pgMar w:left="320" w:top="459" w:right="6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16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fund the growth and development of our business. We do not intend to pay cash dividends to our stockholders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Investors should not purchase our common stock with the expectation of receiving cash dividends.</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32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CAPITALIZATION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June 30, 2021:</w:t>
      </w:r>
    </w:p>
    <w:p>
      <w:pPr>
        <w:spacing w:after="0" w:line="90" w:lineRule="exact"/>
        <w:rPr>
          <w:sz w:val="20"/>
          <w:szCs w:val="20"/>
          <w:color w:val="auto"/>
        </w:rPr>
      </w:pPr>
    </w:p>
    <w:p>
      <w:pPr>
        <w:ind w:left="880" w:hanging="427"/>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880" w:right="60" w:hanging="427"/>
        <w:spacing w:after="0" w:line="259"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a pro forma basis to give effect to (i) the automatic conversion of all outstanding shares of our convertible preferred stock into an aggregate of 3,473,806 shares of our common stock as if such conversion had occurred as of June 30, 2021, and (ii) the filing and effectiveness of our amended and restated certificate of incorporation in connection with the completion of this offering; and</w:t>
      </w:r>
    </w:p>
    <w:p>
      <w:pPr>
        <w:sectPr>
          <w:pgSz w:w="11900" w:h="16838" w:orient="portrait"/>
          <w:cols w:equalWidth="0" w:num="1">
            <w:col w:w="11240"/>
          </w:cols>
          <w:pgMar w:left="320" w:top="459" w:right="339" w:bottom="1440" w:gutter="0" w:footer="0" w:header="0"/>
        </w:sectPr>
      </w:pP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 pro forma as adjusted basis to give effect to the pro forma adjustments described above, and the issuance and sale of 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43"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right="120" w:firstLine="449"/>
        <w:spacing w:after="0" w:line="331" w:lineRule="auto"/>
        <w:rPr>
          <w:sz w:val="20"/>
          <w:szCs w:val="20"/>
          <w:color w:val="auto"/>
        </w:rPr>
      </w:pPr>
      <w:r>
        <w:rPr>
          <w:rFonts w:ascii="Arial" w:cs="Arial" w:eastAsia="Arial" w:hAnsi="Arial"/>
          <w:sz w:val="16"/>
          <w:szCs w:val="16"/>
          <w:color w:val="auto"/>
        </w:rPr>
        <w:t>You should read this information together with our financial statements and related notes appearing elsewhere in this prospectus and the information set forth in the sections titled “Selected Financial Data” and “Management’s Discussion and Analysis of Financial Condition and Results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As of June 30, 2021</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4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2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Actual</w:t>
            </w: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Pro Forma</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8"/>
              </w:rPr>
              <w:t>As Adjusted(1)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3"/>
                <w:szCs w:val="13"/>
                <w:b w:val="1"/>
                <w:bCs w:val="1"/>
                <w:color w:val="auto"/>
                <w:w w:val="93"/>
              </w:rPr>
              <w:t>(unaudited, in thousands)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$ 16,326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Preferred stock warrant liability</w:t>
            </w: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Series A-1 convertible preferred stock, $0.0001 par value; 1,372,970 shares authorized, issued and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7"/>
              </w:rPr>
              <w:t>outstanding, actual; no shares authorized, issued, and, outstanding, pro forma and pro forma as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w w:val="90"/>
              </w:rPr>
              <w:t>Series A-2 convertible preferred stock, $0.0001 par value; 3,974,598 shares authorized; 2,100,836 shares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220"/>
              <w:spacing w:after="0"/>
              <w:rPr>
                <w:sz w:val="20"/>
                <w:szCs w:val="20"/>
                <w:color w:val="auto"/>
              </w:rPr>
            </w:pPr>
            <w:r>
              <w:rPr>
                <w:rFonts w:ascii="Arial" w:cs="Arial" w:eastAsia="Arial" w:hAnsi="Arial"/>
                <w:sz w:val="18"/>
                <w:szCs w:val="18"/>
                <w:color w:val="auto"/>
                <w:w w:val="91"/>
              </w:rPr>
              <w:t>issued and outstanding, actual; no shares authorized, issued or outstanding, pro forma and pro forma</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ind w:left="220"/>
              <w:spacing w:after="0"/>
              <w:rPr>
                <w:sz w:val="20"/>
                <w:szCs w:val="20"/>
                <w:color w:val="auto"/>
              </w:rPr>
            </w:pPr>
            <w:r>
              <w:rPr>
                <w:rFonts w:ascii="Arial" w:cs="Arial" w:eastAsia="Arial" w:hAnsi="Arial"/>
                <w:sz w:val="18"/>
                <w:szCs w:val="18"/>
                <w:color w:val="auto"/>
              </w:rPr>
              <w:t>as adjusted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23,659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40" w:type="dxa"/>
            <w:vAlign w:val="bottom"/>
            <w:gridSpan w:val="2"/>
          </w:tcPr>
          <w:p>
            <w:pPr>
              <w:ind w:left="440"/>
              <w:spacing w:after="0"/>
              <w:rPr>
                <w:sz w:val="20"/>
                <w:szCs w:val="20"/>
                <w:color w:val="auto"/>
              </w:rPr>
            </w:pPr>
            <w:r>
              <w:rPr>
                <w:rFonts w:ascii="Arial" w:cs="Arial" w:eastAsia="Arial" w:hAnsi="Arial"/>
                <w:sz w:val="18"/>
                <w:szCs w:val="18"/>
                <w:color w:val="auto"/>
                <w:w w:val="95"/>
              </w:rPr>
              <w:t>Common stock, $0.0001 par value; no shares authorized, issued or outstanding, actual; shares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660"/>
              <w:spacing w:after="0"/>
              <w:rPr>
                <w:sz w:val="20"/>
                <w:szCs w:val="20"/>
                <w:color w:val="auto"/>
              </w:rPr>
            </w:pPr>
            <w:r>
              <w:rPr>
                <w:rFonts w:ascii="Arial" w:cs="Arial" w:eastAsia="Arial" w:hAnsi="Arial"/>
                <w:sz w:val="18"/>
                <w:szCs w:val="18"/>
                <w:color w:val="auto"/>
                <w:w w:val="94"/>
              </w:rPr>
              <w:t>authorized, shares issued and outstanding, pro forma; shares authorized, shares issued and</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ind w:left="660"/>
              <w:spacing w:after="0"/>
              <w:rPr>
                <w:sz w:val="20"/>
                <w:szCs w:val="20"/>
                <w:color w:val="auto"/>
              </w:rPr>
            </w:pPr>
            <w:r>
              <w:rPr>
                <w:rFonts w:ascii="Arial" w:cs="Arial" w:eastAsia="Arial" w:hAnsi="Arial"/>
                <w:sz w:val="18"/>
                <w:szCs w:val="18"/>
                <w:color w:val="auto"/>
              </w:rPr>
              <w:t>outstanding, pro forma as adjusted</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Class A common stock(2), $0.0001 par value; 7,800,000 shares authorized, 1,051,720 shares</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3"/>
              </w:rPr>
              <w:t>issued and outstanding, actual; shares authorized, shares issued and outstanding, pro forma;</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shares authorized, shares issued and outstanding, pro forma as adjusted</w:t>
            </w: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640" w:type="dxa"/>
            <w:vAlign w:val="bottom"/>
            <w:gridSpan w:val="2"/>
          </w:tcPr>
          <w:p>
            <w:pPr>
              <w:ind w:left="440"/>
              <w:spacing w:after="0"/>
              <w:rPr>
                <w:sz w:val="20"/>
                <w:szCs w:val="20"/>
                <w:color w:val="auto"/>
              </w:rPr>
            </w:pPr>
            <w:r>
              <w:rPr>
                <w:rFonts w:ascii="Arial" w:cs="Arial" w:eastAsia="Arial" w:hAnsi="Arial"/>
                <w:sz w:val="18"/>
                <w:szCs w:val="18"/>
                <w:color w:val="auto"/>
                <w:w w:val="93"/>
              </w:rPr>
              <w:t>Class B common stock, $0.00001 par value; 571,430 shares authorized, zero shares issued and</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660"/>
              <w:spacing w:after="0"/>
              <w:rPr>
                <w:sz w:val="20"/>
                <w:szCs w:val="20"/>
                <w:color w:val="auto"/>
              </w:rPr>
            </w:pPr>
            <w:r>
              <w:rPr>
                <w:rFonts w:ascii="Arial" w:cs="Arial" w:eastAsia="Arial" w:hAnsi="Arial"/>
                <w:sz w:val="18"/>
                <w:szCs w:val="18"/>
                <w:color w:val="auto"/>
                <w:w w:val="98"/>
              </w:rPr>
              <w:t>outstanding, actual; shares authorized, shares issued and outstanding, pro forma; shares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ind w:left="660"/>
              <w:spacing w:after="0"/>
              <w:rPr>
                <w:sz w:val="20"/>
                <w:szCs w:val="20"/>
                <w:color w:val="auto"/>
              </w:rPr>
            </w:pPr>
            <w:r>
              <w:rPr>
                <w:rFonts w:ascii="Arial" w:cs="Arial" w:eastAsia="Arial" w:hAnsi="Arial"/>
                <w:sz w:val="18"/>
                <w:szCs w:val="18"/>
                <w:color w:val="auto"/>
              </w:rPr>
              <w:t>authorized, shares issued and outstanding, pro forma as adjusted</w:t>
            </w:r>
          </w:p>
        </w:tc>
        <w:tc>
          <w:tcPr>
            <w:tcW w:w="2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stockholders’ (deficit) equity</w:t>
            </w: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(17,845)</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2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capitalization</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$ 14,491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4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40" w:hanging="432"/>
        <w:spacing w:after="0" w:line="196" w:lineRule="auto"/>
        <w:tabs>
          <w:tab w:leader="none" w:pos="440" w:val="left"/>
        </w:tabs>
        <w:numPr>
          <w:ilvl w:val="0"/>
          <w:numId w:val="68"/>
        </w:numPr>
        <w:rPr>
          <w:rFonts w:ascii="Arial" w:cs="Arial" w:eastAsia="Arial" w:hAnsi="Arial"/>
          <w:sz w:val="3"/>
          <w:szCs w:val="3"/>
          <w:color w:val="auto"/>
        </w:rPr>
      </w:pPr>
      <w:r>
        <w:rPr>
          <w:rFonts w:ascii="Arial" w:cs="Arial" w:eastAsia="Arial" w:hAnsi="Arial"/>
          <w:sz w:val="3"/>
          <w:szCs w:val="3"/>
          <w:color w:val="auto"/>
        </w:rPr>
        <w:t>Each $1.00 increase or decrease in the assumed initial public offering price of $ per share, the midpoint of the price range set forth on the cover page of this prospectus, would increase or decrease, as</w:t>
      </w:r>
    </w:p>
    <w:p>
      <w:pPr>
        <w:spacing w:after="0" w:line="137" w:lineRule="exact"/>
        <w:rPr>
          <w:sz w:val="20"/>
          <w:szCs w:val="20"/>
          <w:color w:val="auto"/>
        </w:rPr>
      </w:pPr>
    </w:p>
    <w:p>
      <w:pPr>
        <w:ind w:left="440" w:right="180"/>
        <w:spacing w:after="0" w:line="274" w:lineRule="auto"/>
        <w:rPr>
          <w:sz w:val="20"/>
          <w:szCs w:val="20"/>
          <w:color w:val="auto"/>
        </w:rPr>
      </w:pPr>
      <w:r>
        <w:rPr>
          <w:rFonts w:ascii="Arial" w:cs="Arial" w:eastAsia="Arial" w:hAnsi="Arial"/>
          <w:sz w:val="13"/>
          <w:szCs w:val="13"/>
          <w:color w:val="auto"/>
        </w:rPr>
        <w:t>applicable, each of pro forma as adjusted cash, additional paid-in capital, total stockholders’ (deficit) equity, and total capitalization by approximately $ million, assuming that the number of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160"/>
        <w:spacing w:after="0" w:line="268" w:lineRule="auto"/>
        <w:rPr>
          <w:sz w:val="20"/>
          <w:szCs w:val="20"/>
          <w:color w:val="auto"/>
        </w:rPr>
      </w:pPr>
      <w:r>
        <w:rPr>
          <w:rFonts w:ascii="Arial" w:cs="Arial" w:eastAsia="Arial" w:hAnsi="Arial"/>
          <w:sz w:val="12"/>
          <w:szCs w:val="12"/>
          <w:color w:val="auto"/>
        </w:rPr>
        <w:t>offered by us, as set forth on the cover page of this prospectus, remains the same. We may also increase or decrease the number of shares we are offering. Each increase or decrease of 1.0 million shares in the number of shares we are offering would increase or decrease, as applicable, each of pro forma as adjusted cash, additional paid-in capital, total stockholders’ (deficit) equity, and total</w:t>
      </w:r>
    </w:p>
    <w:p>
      <w:pPr>
        <w:spacing w:after="0" w:line="1" w:lineRule="exact"/>
        <w:rPr>
          <w:sz w:val="20"/>
          <w:szCs w:val="20"/>
          <w:color w:val="auto"/>
        </w:rPr>
      </w:pPr>
    </w:p>
    <w:p>
      <w:pPr>
        <w:ind w:left="460" w:right="140"/>
        <w:spacing w:after="0" w:line="238" w:lineRule="auto"/>
        <w:rPr>
          <w:sz w:val="20"/>
          <w:szCs w:val="20"/>
          <w:color w:val="auto"/>
        </w:rPr>
      </w:pPr>
      <w:r>
        <w:rPr>
          <w:rFonts w:ascii="Arial" w:cs="Arial" w:eastAsia="Arial" w:hAnsi="Arial"/>
          <w:sz w:val="13"/>
          <w:szCs w:val="13"/>
          <w:color w:val="auto"/>
        </w:rPr>
        <w:t>capitalization by approximately $ million, assuming the assumed initial public offering price per share, as set forth on the cover page of this prospectus, remains the same. The pro forma as adjusted information is illustrative only, and we will adjust this information based on the actual initial public offering price and other terms of this offering determined at pricing.</w:t>
      </w:r>
    </w:p>
    <w:p>
      <w:pPr>
        <w:spacing w:after="0" w:line="1" w:lineRule="exact"/>
        <w:rPr>
          <w:sz w:val="20"/>
          <w:szCs w:val="20"/>
          <w:color w:val="auto"/>
        </w:rPr>
      </w:pPr>
    </w:p>
    <w:p>
      <w:pPr>
        <w:ind w:left="440" w:right="240" w:hanging="432"/>
        <w:spacing w:after="0" w:line="255" w:lineRule="auto"/>
        <w:tabs>
          <w:tab w:leader="none" w:pos="4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 connection with this offering, we intend to re-designate all shares of Class A common stock as shares of common stock. Other than with respect to their names, the terms of common stock and Class A common stock will be identical.</w:t>
      </w:r>
    </w:p>
    <w:p>
      <w:pPr>
        <w:spacing w:after="0" w:line="132"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The number of shares of common stock issued and outstanding pro forma and pro forma as adjusted in the table above is based on 1,051,720 shares of our common stock outstanding as of June 30, 2021, including 141,560 shares of unvested restricted common stock, and 3,473,806 shares of our common stock issuable upon the automatic conversion of all outstanding shares of our convertible preferred stock immediately prior to the completion of this offering, and excludes:</w:t>
      </w:r>
    </w:p>
    <w:p>
      <w:pPr>
        <w:spacing w:after="0" w:line="62" w:lineRule="exact"/>
        <w:rPr>
          <w:sz w:val="20"/>
          <w:szCs w:val="20"/>
          <w:color w:val="auto"/>
        </w:rPr>
      </w:pPr>
    </w:p>
    <w:p>
      <w:pPr>
        <w:ind w:left="880" w:right="100" w:hanging="427"/>
        <w:spacing w:after="0" w:line="268"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35,529 shares of Series A-2 convertible preferred stock issuable upon the exercise of outstanding preferred stock warrants as of June 30, 2021, at an exercise price of $11.42 per share, which will convert into 35,529 shares of our common stock;</w:t>
      </w:r>
    </w:p>
    <w:p>
      <w:pPr>
        <w:spacing w:after="0" w:line="50" w:lineRule="exact"/>
        <w:rPr>
          <w:rFonts w:ascii="Arial" w:cs="Arial" w:eastAsia="Arial" w:hAnsi="Arial"/>
          <w:sz w:val="18"/>
          <w:szCs w:val="18"/>
          <w:color w:val="auto"/>
        </w:rPr>
      </w:pPr>
    </w:p>
    <w:p>
      <w:pPr>
        <w:ind w:left="880" w:right="20" w:hanging="427"/>
        <w:spacing w:after="0" w:line="268"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624,964 shares of common stock issuable upon the exercise of stock options outstanding as of June 30, 2021, at a weighted average exercise price of $2.32 per share;</w:t>
      </w:r>
    </w:p>
    <w:p>
      <w:pPr>
        <w:spacing w:after="0" w:line="50" w:lineRule="exact"/>
        <w:rPr>
          <w:rFonts w:ascii="Arial" w:cs="Arial" w:eastAsia="Arial" w:hAnsi="Arial"/>
          <w:sz w:val="18"/>
          <w:szCs w:val="18"/>
          <w:color w:val="auto"/>
        </w:rPr>
      </w:pPr>
    </w:p>
    <w:p>
      <w:pPr>
        <w:ind w:left="880" w:right="360" w:hanging="427"/>
        <w:spacing w:after="0" w:line="268"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230,112 shares of our common stock reserved for future issuance under our existing equity incentive plans, which will no longer be available following the effectiveness of our 2021 Plan described below;</w:t>
      </w:r>
    </w:p>
    <w:p>
      <w:pPr>
        <w:spacing w:after="0" w:line="50" w:lineRule="exact"/>
        <w:rPr>
          <w:rFonts w:ascii="Arial" w:cs="Arial" w:eastAsia="Arial" w:hAnsi="Arial"/>
          <w:sz w:val="18"/>
          <w:szCs w:val="18"/>
          <w:color w:val="auto"/>
        </w:rPr>
      </w:pPr>
    </w:p>
    <w:p>
      <w:pPr>
        <w:ind w:left="1420" w:hanging="967"/>
        <w:spacing w:after="0"/>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2021 Plan, which will adopted in connection with this offering; and</w:t>
      </w:r>
    </w:p>
    <w:p>
      <w:pPr>
        <w:spacing w:after="0" w:line="113" w:lineRule="exact"/>
        <w:rPr>
          <w:rFonts w:ascii="Arial" w:cs="Arial" w:eastAsia="Arial" w:hAnsi="Arial"/>
          <w:sz w:val="16"/>
          <w:szCs w:val="16"/>
          <w:color w:val="auto"/>
        </w:rPr>
      </w:pPr>
    </w:p>
    <w:p>
      <w:pPr>
        <w:ind w:left="1420" w:hanging="967"/>
        <w:spacing w:after="0"/>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ESPP, which will be adopted in connection with this offering.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32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8" w:lineRule="exact"/>
        <w:rPr>
          <w:sz w:val="20"/>
          <w:szCs w:val="20"/>
          <w:color w:val="auto"/>
        </w:rPr>
      </w:pPr>
    </w:p>
    <w:p>
      <w:pPr>
        <w:ind w:right="100" w:firstLine="449"/>
        <w:spacing w:after="0" w:line="331"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after this offering.</w:t>
      </w:r>
    </w:p>
    <w:p>
      <w:pPr>
        <w:spacing w:after="0" w:line="87"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Our historical net tangible book value (deficit) as of June 30, 2021 was $(17.8) million, or $(16.97) per share of our common stock. Our historical net tangible book value (deficit) is the amount of our total tangible assets less our total liabilities and preferred stock, which are not included within stockholders’ (deficit) equity. Historical net tangible book value (deficit) per share represents our historical net tangible book value (deficit) divided by the 1,051,720 shares of our common stock outstanding as of June 30, 2021.</w:t>
      </w:r>
    </w:p>
    <w:p>
      <w:pPr>
        <w:spacing w:after="0" w:line="143"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Our pro forma net tangible book value as of June 30, 2021 was $ , or $ per share of our common stock. Pro forma net tangible book value represents the amount of our total tangible assets less our total liabilities, after giving effect to the automatic conversion of all outstanding shares of our preferred stock into an aggregate of shares of common stock immediately prior to the completion of this offering. Pro forma net tangible book value per</w:t>
      </w:r>
    </w:p>
    <w:p>
      <w:pPr>
        <w:spacing w:after="0" w:line="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share represents pro forma net tangible book value divided by the total number of shares outstanding as of June 30, 2021, after giving effect to the automatic conversion of all outstanding shares of our preferred stock into common stock immediately prior to the completion of this offering.</w:t>
      </w:r>
    </w:p>
    <w:p>
      <w:pPr>
        <w:spacing w:after="0" w:line="92" w:lineRule="exact"/>
        <w:rPr>
          <w:sz w:val="20"/>
          <w:szCs w:val="20"/>
          <w:color w:val="auto"/>
        </w:rPr>
      </w:pPr>
    </w:p>
    <w:p>
      <w:pPr>
        <w:ind w:left="460"/>
        <w:spacing w:after="0"/>
        <w:tabs>
          <w:tab w:leader="none" w:pos="4740" w:val="left"/>
        </w:tabs>
        <w:rPr>
          <w:sz w:val="20"/>
          <w:szCs w:val="20"/>
          <w:color w:val="auto"/>
        </w:rPr>
      </w:pPr>
      <w:r>
        <w:rPr>
          <w:rFonts w:ascii="Arial" w:cs="Arial" w:eastAsia="Arial" w:hAnsi="Arial"/>
          <w:sz w:val="18"/>
          <w:szCs w:val="18"/>
          <w:color w:val="auto"/>
        </w:rPr>
        <w:t>After giving further effect to our issuance and sale of</w:t>
      </w:r>
      <w:r>
        <w:rPr>
          <w:sz w:val="20"/>
          <w:szCs w:val="20"/>
          <w:color w:val="auto"/>
        </w:rPr>
        <w:tab/>
      </w:r>
      <w:r>
        <w:rPr>
          <w:rFonts w:ascii="Arial" w:cs="Arial" w:eastAsia="Arial" w:hAnsi="Arial"/>
          <w:sz w:val="16"/>
          <w:szCs w:val="16"/>
          <w:color w:val="auto"/>
        </w:rPr>
        <w:t>shares of our common stock in this offering at an assumed initial public offering price of</w:t>
      </w:r>
    </w:p>
    <w:p>
      <w:pPr>
        <w:spacing w:after="0" w:line="15"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per share, which is the midpoint of the price range set forth on the cover page of this prospectus, and after deducting estimated underwriting discounts</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and commissions and estimated offering expenses payable by us, our pro forma as adjusted net tangible book value as of June 30, 2021 would have been</w:t>
      </w:r>
    </w:p>
    <w:p>
      <w:pPr>
        <w:spacing w:after="0" w:line="25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million, or $ per share. This represents an immediate increase in pro forma as adjusted net tangible book value per share of $ to existing stockholders and immediate dilution of $ in pro forma as adjusted net tangible book value per share to new investors purchasing common stock</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Historical net tangible book value per share as of June 30, 2021</w:t>
            </w:r>
          </w:p>
        </w:tc>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(16.97)</w:t>
            </w:r>
          </w:p>
        </w:tc>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increase in net tangible book value per share as of June 30, 2021</w:t>
            </w:r>
          </w:p>
        </w:tc>
        <w:tc>
          <w:tcPr>
            <w:tcW w:w="2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400" w:type="dxa"/>
            <w:vAlign w:val="bottom"/>
            <w:gridSpan w:val="3"/>
          </w:tcPr>
          <w:p>
            <w:pPr>
              <w:ind w:left="440"/>
              <w:spacing w:after="0"/>
              <w:rPr>
                <w:sz w:val="20"/>
                <w:szCs w:val="20"/>
                <w:color w:val="auto"/>
              </w:rPr>
            </w:pPr>
            <w:r>
              <w:rPr>
                <w:rFonts w:ascii="Arial" w:cs="Arial" w:eastAsia="Arial" w:hAnsi="Arial"/>
                <w:sz w:val="18"/>
                <w:szCs w:val="18"/>
                <w:color w:val="auto"/>
              </w:rPr>
              <w:t>Pro forma net tangible book value per share as of June 30, 2021, before giving effect to this offering</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4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88"/>
              </w:rPr>
              <w:t>Increase in pro forma net tangible book value per share attributable to investors purchasing shares in this offering</w:t>
            </w: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w w:val="89"/>
              </w:rPr>
              <w:t>Pro forma as adjusted net tangible book value per share immediately after this offering</w:t>
            </w:r>
          </w:p>
        </w:tc>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Dilution in pro forma as adjusted net tangible book value per share to new investors purchasing shares in this offering</w:t>
            </w:r>
          </w:p>
        </w:tc>
        <w:tc>
          <w:tcPr>
            <w:tcW w:w="13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20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4"/>
        </w:trPr>
        <w:tc>
          <w:tcPr>
            <w:tcW w:w="6200" w:type="dxa"/>
            <w:vAlign w:val="bottom"/>
            <w:gridSpan w:val="2"/>
          </w:tcPr>
          <w:p>
            <w:pPr>
              <w:ind w:left="460"/>
              <w:spacing w:after="0"/>
              <w:rPr>
                <w:sz w:val="20"/>
                <w:szCs w:val="20"/>
                <w:color w:val="auto"/>
              </w:rPr>
            </w:pPr>
            <w:r>
              <w:rPr>
                <w:rFonts w:ascii="Arial" w:cs="Arial" w:eastAsia="Arial" w:hAnsi="Arial"/>
                <w:sz w:val="18"/>
                <w:szCs w:val="18"/>
                <w:color w:val="auto"/>
                <w:w w:val="96"/>
              </w:rPr>
              <w:t>A $1.00 increase (decrease) in the assumed initial public offering price of $</w:t>
            </w:r>
          </w:p>
        </w:tc>
        <w:tc>
          <w:tcPr>
            <w:tcW w:w="5040" w:type="dxa"/>
            <w:vAlign w:val="bottom"/>
            <w:gridSpan w:val="7"/>
          </w:tcPr>
          <w:p>
            <w:pPr>
              <w:ind w:left="120"/>
              <w:spacing w:after="0"/>
              <w:rPr>
                <w:sz w:val="20"/>
                <w:szCs w:val="20"/>
                <w:color w:val="auto"/>
              </w:rPr>
            </w:pPr>
            <w:r>
              <w:rPr>
                <w:rFonts w:ascii="Arial" w:cs="Arial" w:eastAsia="Arial" w:hAnsi="Arial"/>
                <w:sz w:val="18"/>
                <w:szCs w:val="18"/>
                <w:color w:val="auto"/>
                <w:w w:val="93"/>
              </w:rPr>
              <w:t>per share, which is the midpoint of the price range set forth on the</w:t>
            </w:r>
          </w:p>
        </w:tc>
      </w:tr>
      <w:tr>
        <w:trPr>
          <w:trHeight w:val="216"/>
        </w:trPr>
        <w:tc>
          <w:tcPr>
            <w:tcW w:w="8400" w:type="dxa"/>
            <w:vAlign w:val="bottom"/>
            <w:gridSpan w:val="3"/>
          </w:tcPr>
          <w:p>
            <w:pPr>
              <w:spacing w:after="0"/>
              <w:rPr>
                <w:sz w:val="20"/>
                <w:szCs w:val="20"/>
                <w:color w:val="auto"/>
              </w:rPr>
            </w:pPr>
            <w:r>
              <w:rPr>
                <w:rFonts w:ascii="Arial" w:cs="Arial" w:eastAsia="Arial" w:hAnsi="Arial"/>
                <w:sz w:val="18"/>
                <w:szCs w:val="18"/>
                <w:color w:val="auto"/>
                <w:w w:val="93"/>
              </w:rPr>
              <w:t>cover page of this prospectus, would increase (decrease) our pro forma as adjusted net tangible book value by $</w:t>
            </w:r>
          </w:p>
        </w:tc>
        <w:tc>
          <w:tcPr>
            <w:tcW w:w="2840" w:type="dxa"/>
            <w:vAlign w:val="bottom"/>
            <w:gridSpan w:val="6"/>
          </w:tcPr>
          <w:p>
            <w:pPr>
              <w:ind w:left="20"/>
              <w:spacing w:after="0"/>
              <w:rPr>
                <w:sz w:val="20"/>
                <w:szCs w:val="20"/>
                <w:color w:val="auto"/>
              </w:rPr>
            </w:pPr>
            <w:r>
              <w:rPr>
                <w:rFonts w:ascii="Arial" w:cs="Arial" w:eastAsia="Arial" w:hAnsi="Arial"/>
                <w:sz w:val="18"/>
                <w:szCs w:val="18"/>
                <w:color w:val="auto"/>
                <w:w w:val="94"/>
              </w:rPr>
              <w:t>million, our pro forma as adjusted net</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w w:val="95"/>
              </w:rPr>
              <w:t>tangible book value per share after this offering by $</w:t>
            </w:r>
          </w:p>
        </w:tc>
        <w:tc>
          <w:tcPr>
            <w:tcW w:w="5740" w:type="dxa"/>
            <w:vAlign w:val="bottom"/>
            <w:gridSpan w:val="3"/>
          </w:tcPr>
          <w:p>
            <w:pPr>
              <w:ind w:left="280"/>
              <w:spacing w:after="0"/>
              <w:rPr>
                <w:sz w:val="20"/>
                <w:szCs w:val="20"/>
                <w:color w:val="auto"/>
              </w:rPr>
            </w:pPr>
            <w:r>
              <w:rPr>
                <w:rFonts w:ascii="Arial" w:cs="Arial" w:eastAsia="Arial" w:hAnsi="Arial"/>
                <w:sz w:val="18"/>
                <w:szCs w:val="18"/>
                <w:color w:val="auto"/>
                <w:w w:val="88"/>
              </w:rPr>
              <w:t>and dilution per share to new investors purchasing shares in this offering by $</w:t>
            </w:r>
          </w:p>
        </w:tc>
        <w:tc>
          <w:tcPr>
            <w:tcW w:w="20" w:type="dxa"/>
            <w:vAlign w:val="bottom"/>
          </w:tcPr>
          <w:p>
            <w:pPr>
              <w:spacing w:after="0"/>
              <w:rPr>
                <w:sz w:val="19"/>
                <w:szCs w:val="19"/>
                <w:color w:val="auto"/>
              </w:rPr>
            </w:pPr>
          </w:p>
        </w:tc>
        <w:tc>
          <w:tcPr>
            <w:tcW w:w="1500" w:type="dxa"/>
            <w:vAlign w:val="bottom"/>
            <w:gridSpan w:val="4"/>
          </w:tcPr>
          <w:p>
            <w:pPr>
              <w:ind w:left="500"/>
              <w:spacing w:after="0"/>
              <w:rPr>
                <w:sz w:val="20"/>
                <w:szCs w:val="20"/>
                <w:color w:val="auto"/>
              </w:rPr>
            </w:pPr>
            <w:r>
              <w:rPr>
                <w:rFonts w:ascii="Arial" w:cs="Arial" w:eastAsia="Arial" w:hAnsi="Arial"/>
                <w:sz w:val="18"/>
                <w:szCs w:val="18"/>
                <w:color w:val="auto"/>
              </w:rPr>
              <w:t>, assuming</w:t>
            </w:r>
          </w:p>
        </w:tc>
      </w:tr>
    </w:tbl>
    <w:p>
      <w:pPr>
        <w:ind w:right="200"/>
        <w:spacing w:after="0" w:line="302" w:lineRule="auto"/>
        <w:rPr>
          <w:sz w:val="20"/>
          <w:szCs w:val="20"/>
          <w:color w:val="auto"/>
        </w:rPr>
      </w:pPr>
      <w:r>
        <w:rPr>
          <w:rFonts w:ascii="Arial" w:cs="Arial" w:eastAsia="Arial" w:hAnsi="Arial"/>
          <w:sz w:val="16"/>
          <w:szCs w:val="16"/>
          <w:color w:val="auto"/>
        </w:rPr>
        <w:t>that the number of shares offered by us, as set forth on the cover page of this prospectus, remains the same and after deducting estimated underwriting discounts and commissions and estimated offering expenses payable by us. A 1.0 million share increase in the number of shares offered by us, as set forth on the cover page of this prospectus, would increase the pro forma as adjusted net tangible book value per share after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this offering by $ and decrease the dilution per share to new investors participating in this offering by $ , assuming no change in the assumed initial public offering price and after deducting estimated underwriting discounts and commissions and estimated offering expenses payable by us. 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1.0 million share decrease in the number of shares offered by us, as set forth on the cover page of this prospectus, would decrease the pro forma as adjusted net</w:t>
      </w:r>
    </w:p>
    <w:p>
      <w:pPr>
        <w:spacing w:after="0" w:line="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tangible book value per share after this offering by $ and increase the dilution per share to new investors participating in this offering by $ , assuming no change in the assumed initial public offering price and after deducting estimated underwriting discounts and commissions and estimated offering expenses payable by us.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to purchase additional shares in full, our pro forma as adjusted net tangible book value per share after this</w:t>
      </w:r>
    </w:p>
    <w:p>
      <w:pPr>
        <w:spacing w:after="0" w:line="38"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offering would be $ per share, representing an immediate increase in pro forma as adjusted net tangible book value per share of $ to existing stockholders and immediate dilution in pro forma as adjusted net tangible book value per share of $ to new investors purchasing common stock in this offering, assuming an initial public offering price of $ per share, which is the midpoint of the price range set forth on the cover page of this prospectus,</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and after deducting estimated underwriting discounts and commissions and estimated offering expenses payable by us. If any shares are issued upon exercise of outstanding options or warrants, you will experience further dilution.</w:t>
      </w:r>
    </w:p>
    <w:p>
      <w:pPr>
        <w:spacing w:after="0" w:line="139" w:lineRule="exact"/>
        <w:rPr>
          <w:sz w:val="20"/>
          <w:szCs w:val="20"/>
          <w:color w:val="auto"/>
        </w:rPr>
      </w:pPr>
    </w:p>
    <w:p>
      <w:pPr>
        <w:ind w:right="220" w:firstLine="449"/>
        <w:spacing w:after="0" w:line="304" w:lineRule="auto"/>
        <w:rPr>
          <w:sz w:val="20"/>
          <w:szCs w:val="20"/>
          <w:color w:val="auto"/>
        </w:rPr>
      </w:pPr>
      <w:r>
        <w:rPr>
          <w:rFonts w:ascii="Arial" w:cs="Arial" w:eastAsia="Arial" w:hAnsi="Arial"/>
          <w:sz w:val="15"/>
          <w:szCs w:val="15"/>
          <w:color w:val="auto"/>
        </w:rPr>
        <w:t>The following table summarizes, on the pro forma as adjusted basis described above, the differences between the number of shares of common stock purchased from us, the total consideration paid to us and the average price per share paid by existing stockholders and by new investors purchasing shares of</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common stock in this offering. The calculation below is based on an assumed initial public offering price of $ per share, which is the midpoint of the price range set forth on the cover page of this prospectus, before deducting estimated underwriting discounts and commissions and estimated offering expenses payable by 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2240" w:type="dxa"/>
            <w:vAlign w:val="bottom"/>
            <w:gridSpan w:val="4"/>
          </w:tcPr>
          <w:p>
            <w:pPr>
              <w:jc w:val="right"/>
              <w:ind w:right="652"/>
              <w:spacing w:after="0"/>
              <w:rPr>
                <w:sz w:val="20"/>
                <w:szCs w:val="20"/>
                <w:color w:val="auto"/>
              </w:rPr>
            </w:pPr>
            <w:r>
              <w:rPr>
                <w:rFonts w:ascii="Arial" w:cs="Arial" w:eastAsia="Arial" w:hAnsi="Arial"/>
                <w:sz w:val="18"/>
                <w:szCs w:val="18"/>
                <w:b w:val="1"/>
                <w:bCs w:val="1"/>
                <w:color w:val="auto"/>
                <w:w w:val="94"/>
              </w:rPr>
              <w:t>Shares Purchased</w:t>
            </w:r>
          </w:p>
        </w:tc>
        <w:tc>
          <w:tcPr>
            <w:tcW w:w="202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w w:val="97"/>
              </w:rPr>
              <w:t>Total Consideration</w:t>
            </w:r>
          </w:p>
        </w:tc>
        <w:tc>
          <w:tcPr>
            <w:tcW w:w="40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9"/>
              </w:rPr>
              <w:t>Average Price</w:t>
            </w:r>
          </w:p>
        </w:tc>
      </w:tr>
      <w:tr>
        <w:trPr>
          <w:trHeight w:val="209"/>
        </w:trPr>
        <w:tc>
          <w:tcPr>
            <w:tcW w:w="5480" w:type="dxa"/>
            <w:vAlign w:val="bottom"/>
          </w:tcPr>
          <w:p>
            <w:pPr>
              <w:spacing w:after="0"/>
              <w:rPr>
                <w:sz w:val="18"/>
                <w:szCs w:val="18"/>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88"/>
              </w:rPr>
              <w:t>Number</w:t>
            </w:r>
          </w:p>
        </w:tc>
        <w:tc>
          <w:tcPr>
            <w:tcW w:w="4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5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Amount</w:t>
            </w: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Percent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Share</w:t>
            </w:r>
          </w:p>
        </w:tc>
      </w:tr>
      <w:tr>
        <w:trPr>
          <w:trHeight w:val="210"/>
        </w:trPr>
        <w:tc>
          <w:tcPr>
            <w:tcW w:w="5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87"/>
              </w:rPr>
              <w:t>%</w:t>
            </w: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New investors</w:t>
            </w: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100.0%</w:t>
            </w: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4"/>
        </w:trPr>
        <w:tc>
          <w:tcPr>
            <w:tcW w:w="11240" w:type="dxa"/>
            <w:vAlign w:val="bottom"/>
            <w:gridSpan w:val="12"/>
          </w:tcPr>
          <w:p>
            <w:pPr>
              <w:ind w:left="460"/>
              <w:spacing w:after="0"/>
              <w:rPr>
                <w:sz w:val="20"/>
                <w:szCs w:val="20"/>
                <w:color w:val="auto"/>
              </w:rPr>
            </w:pPr>
            <w:r>
              <w:rPr>
                <w:rFonts w:ascii="Arial" w:cs="Arial" w:eastAsia="Arial" w:hAnsi="Arial"/>
                <w:sz w:val="18"/>
                <w:szCs w:val="18"/>
                <w:color w:val="auto"/>
                <w:w w:val="90"/>
              </w:rPr>
              <w:t>The table above assumes no exercise of the underwriters’ option to purchase additional shares in this offering. If the underwriters’ option to purchase</w:t>
            </w:r>
          </w:p>
        </w:tc>
      </w:tr>
      <w:tr>
        <w:trPr>
          <w:trHeight w:val="222"/>
        </w:trPr>
        <w:tc>
          <w:tcPr>
            <w:tcW w:w="9740" w:type="dxa"/>
            <w:vAlign w:val="bottom"/>
            <w:gridSpan w:val="9"/>
          </w:tcPr>
          <w:p>
            <w:pPr>
              <w:spacing w:after="0"/>
              <w:rPr>
                <w:sz w:val="20"/>
                <w:szCs w:val="20"/>
                <w:color w:val="auto"/>
              </w:rPr>
            </w:pPr>
            <w:r>
              <w:rPr>
                <w:rFonts w:ascii="Arial" w:cs="Arial" w:eastAsia="Arial" w:hAnsi="Arial"/>
                <w:sz w:val="18"/>
                <w:szCs w:val="18"/>
                <w:color w:val="auto"/>
                <w:w w:val="93"/>
              </w:rPr>
              <w:t>additional shares is exercised in full, the number of shares of our common stock held by existing stockholders would be reduced to</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 of the total</w:t>
            </w:r>
          </w:p>
        </w:tc>
      </w:tr>
    </w:tbl>
    <w:p>
      <w:pPr>
        <w:spacing w:after="0"/>
        <w:rPr>
          <w:sz w:val="20"/>
          <w:szCs w:val="20"/>
          <w:color w:val="auto"/>
        </w:rPr>
      </w:pPr>
      <w:r>
        <w:rPr>
          <w:rFonts w:ascii="Arial" w:cs="Arial" w:eastAsia="Arial" w:hAnsi="Arial"/>
          <w:sz w:val="16"/>
          <w:szCs w:val="16"/>
          <w:color w:val="auto"/>
        </w:rPr>
        <w:t>number of shares of our common stock outstanding after this offering, and the number of shares of common stock held by new investors participating in the</w:t>
      </w:r>
    </w:p>
    <w:p>
      <w:pPr>
        <w:spacing w:after="0" w:line="32"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offering would be increased to</w:t>
      </w:r>
      <w:r>
        <w:rPr>
          <w:sz w:val="20"/>
          <w:szCs w:val="20"/>
          <w:color w:val="auto"/>
        </w:rPr>
        <w:tab/>
      </w:r>
      <w:r>
        <w:rPr>
          <w:rFonts w:ascii="Arial" w:cs="Arial" w:eastAsia="Arial" w:hAnsi="Arial"/>
          <w:sz w:val="16"/>
          <w:szCs w:val="16"/>
          <w:color w:val="auto"/>
        </w:rPr>
        <w:t>% of the total number of shares of our common stock outstanding after this offering.</w:t>
      </w:r>
    </w:p>
    <w:p>
      <w:pPr>
        <w:spacing w:after="0" w:line="165" w:lineRule="exact"/>
        <w:rPr>
          <w:sz w:val="20"/>
          <w:szCs w:val="20"/>
          <w:color w:val="auto"/>
        </w:rPr>
      </w:pPr>
    </w:p>
    <w:p>
      <w:pPr>
        <w:ind w:right="300" w:firstLine="449"/>
        <w:spacing w:after="0" w:line="256" w:lineRule="auto"/>
        <w:rPr>
          <w:sz w:val="20"/>
          <w:szCs w:val="20"/>
          <w:color w:val="auto"/>
        </w:rPr>
      </w:pPr>
      <w:r>
        <w:rPr>
          <w:rFonts w:ascii="Arial" w:cs="Arial" w:eastAsia="Arial" w:hAnsi="Arial"/>
          <w:sz w:val="18"/>
          <w:szCs w:val="18"/>
          <w:color w:val="auto"/>
        </w:rPr>
        <w:t>The foregoing tables and calculations (other than the historical net tangible book value (deficit) calculations) are based on 1,051,720 shares of our common stock outstanding as of June 30, 2021, including 141,560 shares of unvested restricted common stock, and 3,473,806 shares of our common stock issuable upon the automatic conversion of all outstanding shares of our convertible preferred stock immediately prior to the completion of this offering, and excludes:</w:t>
      </w:r>
    </w:p>
    <w:p>
      <w:pPr>
        <w:spacing w:after="0" w:line="62" w:lineRule="exact"/>
        <w:rPr>
          <w:sz w:val="20"/>
          <w:szCs w:val="20"/>
          <w:color w:val="auto"/>
        </w:rPr>
      </w:pPr>
    </w:p>
    <w:p>
      <w:pPr>
        <w:ind w:left="880" w:right="180" w:hanging="427"/>
        <w:spacing w:after="0" w:line="268"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35,529 shares of Series A-2 convertible preferred stock issuable upon the exercise of outstanding preferred stock warrants as of June 30, 2021, at an exercise price of $11.42 per share, which will convert into 35,529 shares of our common stock;</w:t>
      </w:r>
    </w:p>
    <w:p>
      <w:pPr>
        <w:spacing w:after="0" w:line="50" w:lineRule="exact"/>
        <w:rPr>
          <w:rFonts w:ascii="Arial" w:cs="Arial" w:eastAsia="Arial" w:hAnsi="Arial"/>
          <w:sz w:val="18"/>
          <w:szCs w:val="18"/>
          <w:color w:val="auto"/>
        </w:rPr>
      </w:pPr>
    </w:p>
    <w:p>
      <w:pPr>
        <w:ind w:left="880" w:right="100" w:hanging="427"/>
        <w:spacing w:after="0" w:line="268"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624,964 shares of common stock issuable upon the exercise of stock options outstanding as of June 30, 2021, at a weighted average exercise price of $2.32 per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420" w:hanging="427"/>
        <w:spacing w:after="0" w:line="268"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230,112 shares of our common stock reserved for future issuance under our existing equity incentive plans, which will no longer be available following the effectiveness of our 2021 Plan described below;</w:t>
      </w:r>
    </w:p>
    <w:p>
      <w:pPr>
        <w:spacing w:after="0" w:line="50" w:lineRule="exact"/>
        <w:rPr>
          <w:rFonts w:ascii="Arial" w:cs="Arial" w:eastAsia="Arial" w:hAnsi="Arial"/>
          <w:sz w:val="18"/>
          <w:szCs w:val="18"/>
          <w:color w:val="auto"/>
        </w:rPr>
      </w:pPr>
    </w:p>
    <w:p>
      <w:pPr>
        <w:ind w:left="1420" w:hanging="967"/>
        <w:spacing w:after="0"/>
        <w:tabs>
          <w:tab w:leader="none" w:pos="1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2021 Plan, which will adopted in connection with this offering; and</w:t>
      </w:r>
    </w:p>
    <w:p>
      <w:pPr>
        <w:spacing w:after="0" w:line="113" w:lineRule="exact"/>
        <w:rPr>
          <w:rFonts w:ascii="Arial" w:cs="Arial" w:eastAsia="Arial" w:hAnsi="Arial"/>
          <w:sz w:val="16"/>
          <w:szCs w:val="16"/>
          <w:color w:val="auto"/>
        </w:rPr>
      </w:pPr>
    </w:p>
    <w:p>
      <w:pPr>
        <w:ind w:left="1420" w:hanging="967"/>
        <w:spacing w:after="0"/>
        <w:tabs>
          <w:tab w:leader="none" w:pos="1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the ESPP, which will be adopted in connection with this offering.</w:t>
      </w:r>
    </w:p>
    <w:p>
      <w:pPr>
        <w:spacing w:after="0" w:line="194"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To the extent that outstanding options are exercised or shares are issued under our 2021 Plan,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stockholders.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8"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included elsewhere in this prospectus. Some of the information contained in this discussion and analysis or set forth elsewhere in this prospectus, including information with respect to our plans, strategies, objectives, expectations and intentions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these forward-looking statements. Please also see the section titled “Special Note Regarding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49"/>
        <w:spacing w:after="0" w:line="301" w:lineRule="auto"/>
        <w:rPr>
          <w:sz w:val="20"/>
          <w:szCs w:val="20"/>
          <w:color w:val="auto"/>
        </w:rPr>
      </w:pPr>
      <w:r>
        <w:rPr>
          <w:rFonts w:ascii="Arial" w:cs="Arial" w:eastAsia="Arial" w:hAnsi="Arial"/>
          <w:sz w:val="15"/>
          <w:szCs w:val="15"/>
          <w:color w:val="auto"/>
        </w:rPr>
        <w:t>We are advancing the next generation of oligonucleotide therapeutics with the goal of transforming the treatment of severe neuromuscular and neurologic diseases. Our Enhanced Delivery Oligonucleotide, or EDO, platform is founded on over a decade of research and development and leverages cell-penetrating peptide conjugates to improve the uptake and the activity of oligonucleotide therapies. Our EDO peptides are engineered to optimize tissue and cell penetration, and in preclinical studies they have demonstrated the ability to transport oligonucleotides into a broad range of target tissues, including smooth, skeletal, and cardiac muscle and the central nervous system, or CNS. Using these EDO peptides, we are generating a pipeline of oligonucleotide therapeutic candidates that target the root cause of serious diseases. We are developing PGN-EDO51, our lead product candidate, to treat individuals with Duchenne muscular dystrophy, or DMD, whose mutations are amenable to an exon 51-skipping therapeutic approach. In non-human primate, or NHP, studies, PGN-EDO51 at a dose of 30 mg/kg achieved over 70% exon 51 skipping in skeletal muscle, including diaphragm, which we believe is the highest rate of exon 51</w:t>
      </w:r>
    </w:p>
    <w:p>
      <w:pPr>
        <w:spacing w:after="0" w:line="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skipping reported by any approved therapeutic or known development candidate. We anticipate filing a Clinical Trial Application, or CTA, in to initiate a Phase 1 clinical trial of PGN-EDO51. We are also developing PGN-EDODM1 for the treatment of myotonic dystrophy type 1, or DM1, for which we</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anticipate an IND filing in , and PGN-EDO53 for the treatment of DMD patients whose mutations are amenable to an exon 53 skipping therapeutic approach, for which we anticipate reporting exon-skipping data in NHPs in . Alongside these therapeutic candidates, we have initiated research efforts on EDO therapeutics for additional neuromuscular and neurologic diseases and other therapeutic areas, including cardiac indications.</w:t>
      </w:r>
    </w:p>
    <w:p>
      <w:pPr>
        <w:spacing w:after="0" w:line="109"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color w:val="auto"/>
        </w:rPr>
        <w:t>Since our inception, we have not generated any revenue from product sales or other sources and have incurred significant operating losses and negative cash flows from our operations. Our primary uses of cash to date have been to fund our research and development activities, business planning, establishing and maintaining our intellectual property portfolio, acquiring and developing product and technology rights, hiring personnel, raising capital, and providing general and administrative support for these operations. To date, we have funded our operations primarily through private placements of our convertible preferred stock. As of June 30, 2021, we had raised aggregate gross proceeds of $30.4 million from these private placements and had cash of $16.3 million. In July 2021, we raised aggregate gross proceeds of $21.0 million from the final milestone closing of our Series A-2 convertible preferred stock and additionally, in July 2021, we raised aggregate gross proceeds of $112.5 million from the private placement of our Series B convertible preferred stock.</w:t>
      </w:r>
    </w:p>
    <w:p>
      <w:pPr>
        <w:spacing w:after="0" w:line="118" w:lineRule="exact"/>
        <w:rPr>
          <w:sz w:val="20"/>
          <w:szCs w:val="20"/>
          <w:color w:val="auto"/>
        </w:rPr>
      </w:pPr>
    </w:p>
    <w:p>
      <w:pPr>
        <w:ind w:firstLine="449"/>
        <w:spacing w:after="0" w:line="312" w:lineRule="auto"/>
        <w:rPr>
          <w:sz w:val="20"/>
          <w:szCs w:val="20"/>
          <w:color w:val="auto"/>
        </w:rPr>
      </w:pPr>
      <w:r>
        <w:rPr>
          <w:rFonts w:ascii="Arial" w:cs="Arial" w:eastAsia="Arial" w:hAnsi="Arial"/>
          <w:sz w:val="15"/>
          <w:szCs w:val="15"/>
          <w:color w:val="auto"/>
        </w:rPr>
        <w:t>We have incurred operating losses in each year since our inception. Our net losses were $1.3 million and $1.9 million for the years ended December 31, 2019 and 2020, respectively, and $12.0 million for the six months ended June 30, 2021. As of June 30, 2021, we had an accumulated deficit of $18.5 million. We expect our expenses and operating losses will increase substantially as we conduct our ongoing preclinical studies and planned clinical trials, continue our research and development activities, utilize third parties to manufacture our product candidates and related raw materials, hire additional personnel, protect our intellectual property and incur additional costs associated with being a public company, including audit, legal, regulatory, and tax-related services associated with maintaining compliance with an exchange listing and SEC requirements, director and officer insurance premiums, and investor relations costs. In addition, we have several development, regulatory and commercial milestone payment obligations under our licensing arrangements. Our net losses may fluctuate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significantly from quarter-to-quarter and year-to-year, depending on the timing of our preclinical studies and planned clinical trials and our expenditures on other research and development activities.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current operating plans, we believe that the estimated net proceeds from this offering, together with our existing cash, will be sufficient</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fund our operations into . See “Use of Proceeds.” We do not expect to generate any revenues from product sales unless and until we successfully complete development and obtain regulatory approval for one or more of our product candidates, which will not be for at least the next several years, if ever.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96"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The global coronavirus disease 2019, or COVID-19, pandemic continues to evolve, and we will continue to monitor the COVID-19 situation. The extent of the impact of the COVID-19 pandemic on our business, operations and clinical development timelines and plans remains uncertain, and will depend on certain developments, including the duration and spread of the outbreak and its impact on contract research organizations, or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only advisable modifications to employee travel.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 and is subject to change.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Reorganization</w:t>
      </w:r>
    </w:p>
    <w:p>
      <w:pPr>
        <w:spacing w:after="0" w:line="9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were initially formed as PepGen Limited on January 25, 2018, in the United Kingdom. On November 9, 2020, PepGen Limited initiated a corporate reorganization, or the Reorganization. As part of the Reorganization, PepGen Limited formed PepGen Inc., a Delaware corporation with nominal assets and liabilities, for the purpose of consummating the Reorganization. In connection with the Reorganization, the existing shareholders of PepGen Limited exchanged each of their classes of shares of PepGen Limited for the same number and class of common stock of PepGen Inc. on a one-to-one basis. The newly issued stock of PepGen Inc. had substantially identical rights to the exchanged shares of PepGen Limited. As a result of the exchange, PepGen Inc. became the sole shareholder of PepGen Limited. Upon the completion of the Reorganization on November 23, 2020, the historical financial statements of PepGen Limited became the historical financial statements of PepGen Inc., as the Reorganization was deemed to be between entities under common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780" w:firstLine="449"/>
        <w:spacing w:after="0" w:line="268" w:lineRule="auto"/>
        <w:rPr>
          <w:sz w:val="20"/>
          <w:szCs w:val="20"/>
          <w:color w:val="auto"/>
        </w:rPr>
      </w:pPr>
      <w:r>
        <w:rPr>
          <w:rFonts w:ascii="Arial" w:cs="Arial" w:eastAsia="Arial" w:hAnsi="Arial"/>
          <w:sz w:val="18"/>
          <w:szCs w:val="18"/>
          <w:color w:val="auto"/>
        </w:rPr>
        <w:t>We currently have no products approved for sale, and we have not generated any revenue to date. In the future, we may generate revenue from collaboration or license agreements we may enter into with respect to our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drug candidate, as well as product sales from any approved product, which approval we do not expect to occur for at least the next several years, if ever. Our ability to generate product revenue will depend on the successful development and eventual commercialization of the drug candidates we pursue. If we fail to complete preclinical and clinical development of product candidates or obtain regulatory approval for them, our ability to generate future revenues, and our results of operations and financial position would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To date, our research and development expenses have primarily consisted of external and internal costs associated with our research and development activities, including our discovery and research efforts, including the development of our proprietary EDO platform, and the preclinical and clinical development of our product candidates. Our research and development expenses include:</w:t>
      </w:r>
    </w:p>
    <w:p>
      <w:pPr>
        <w:spacing w:after="0" w:line="59" w:lineRule="exact"/>
        <w:rPr>
          <w:sz w:val="20"/>
          <w:szCs w:val="20"/>
          <w:color w:val="auto"/>
        </w:rPr>
      </w:pPr>
    </w:p>
    <w:p>
      <w:pPr>
        <w:ind w:left="880" w:right="200" w:hanging="427"/>
        <w:spacing w:after="0" w:line="268"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external expenses, including expenses incurred under arrangements with third parties, such as contract research organizations, or CROs, contract manufacturers or CMOs, consultants and our scientific advisors; and</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internal expenses, including:</w:t>
      </w:r>
    </w:p>
    <w:p>
      <w:pPr>
        <w:spacing w:after="0" w:line="90" w:lineRule="exact"/>
        <w:rPr>
          <w:rFonts w:ascii="Arial" w:cs="Arial" w:eastAsia="Arial" w:hAnsi="Arial"/>
          <w:sz w:val="18"/>
          <w:szCs w:val="18"/>
          <w:color w:val="auto"/>
        </w:rPr>
      </w:pPr>
    </w:p>
    <w:p>
      <w:pPr>
        <w:ind w:left="1000" w:hanging="209"/>
        <w:spacing w:after="0"/>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personnel-related costs, including salaries, payroll taxes, employee benefits, and stock-based compensation;</w:t>
      </w:r>
    </w:p>
    <w:p>
      <w:pPr>
        <w:spacing w:after="0" w:line="90" w:lineRule="exact"/>
        <w:rPr>
          <w:rFonts w:ascii="Arial" w:cs="Arial" w:eastAsia="Arial" w:hAnsi="Arial"/>
          <w:sz w:val="18"/>
          <w:szCs w:val="18"/>
          <w:color w:val="auto"/>
        </w:rPr>
      </w:pPr>
    </w:p>
    <w:p>
      <w:pPr>
        <w:ind w:left="1000" w:hanging="209"/>
        <w:spacing w:after="0"/>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costs for laboratory supplies and materials and reagents for chemical synthesis of product candidates; and</w:t>
      </w:r>
    </w:p>
    <w:p>
      <w:pPr>
        <w:spacing w:after="0" w:line="90" w:lineRule="exact"/>
        <w:rPr>
          <w:rFonts w:ascii="Arial" w:cs="Arial" w:eastAsia="Arial" w:hAnsi="Arial"/>
          <w:sz w:val="18"/>
          <w:szCs w:val="18"/>
          <w:color w:val="auto"/>
        </w:rPr>
      </w:pPr>
    </w:p>
    <w:p>
      <w:pPr>
        <w:ind w:left="1000" w:right="60" w:hanging="209"/>
        <w:spacing w:after="0" w:line="268" w:lineRule="auto"/>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132"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Research and development expenses are recognized as incurred and payments made prior to the receipt of goods or services to be used in research and development activities are capitalized until the goods or services are received.</w:t>
      </w:r>
    </w:p>
    <w:p>
      <w:pPr>
        <w:spacing w:after="0" w:line="132" w:lineRule="exact"/>
        <w:rPr>
          <w:sz w:val="20"/>
          <w:szCs w:val="20"/>
          <w:color w:val="auto"/>
        </w:rPr>
      </w:pPr>
    </w:p>
    <w:p>
      <w:pPr>
        <w:ind w:right="300" w:firstLine="449"/>
        <w:spacing w:after="0" w:line="323" w:lineRule="auto"/>
        <w:rPr>
          <w:sz w:val="20"/>
          <w:szCs w:val="20"/>
          <w:color w:val="auto"/>
        </w:rPr>
      </w:pPr>
      <w:r>
        <w:rPr>
          <w:rFonts w:ascii="Arial" w:cs="Arial" w:eastAsia="Arial" w:hAnsi="Arial"/>
          <w:sz w:val="15"/>
          <w:szCs w:val="15"/>
          <w:color w:val="auto"/>
        </w:rPr>
        <w:t>The following table summarizes our research and development expenses for the years ended December 31, 2019 and 2020 and the six months ended June 30, 2020 and 2021. The direct external development program expenses reflect external costs attributable to our clinical development candidates and preclinical candidates selected for further development. Our internal resources, personnel and infrastructure are not directly tied to any one research or drug discovery program and are typically deployed across multiple programs. As such, we do not track internal expenses on a specific program basis.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20" w:type="dxa"/>
            <w:vAlign w:val="bottom"/>
            <w:gridSpan w:val="6"/>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19"/>
                <w:szCs w:val="19"/>
                <w:color w:val="auto"/>
              </w:rPr>
            </w:pPr>
          </w:p>
        </w:tc>
        <w:tc>
          <w:tcPr>
            <w:tcW w:w="250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1"/>
        </w:trPr>
        <w:tc>
          <w:tcPr>
            <w:tcW w:w="45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External expenses:</w:t>
            </w: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PGN-EDO51</w:t>
            </w:r>
          </w:p>
        </w:tc>
        <w:tc>
          <w:tcPr>
            <w:tcW w:w="13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238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550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PGN-EDODM1</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PGN-EDO53</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programs and unallocated expenses</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880"/>
              <w:spacing w:after="0"/>
              <w:rPr>
                <w:sz w:val="20"/>
                <w:szCs w:val="20"/>
                <w:color w:val="auto"/>
              </w:rPr>
            </w:pPr>
            <w:r>
              <w:rPr>
                <w:rFonts w:ascii="Arial" w:cs="Arial" w:eastAsia="Arial" w:hAnsi="Arial"/>
                <w:sz w:val="18"/>
                <w:szCs w:val="18"/>
                <w:color w:val="auto"/>
              </w:rPr>
              <w:t>Total external expense</w:t>
            </w: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362</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Internal expenses</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880"/>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vMerge w:val="continue"/>
          </w:tcPr>
          <w:p>
            <w:pPr>
              <w:spacing w:after="0"/>
              <w:rPr>
                <w:sz w:val="19"/>
                <w:szCs w:val="19"/>
                <w:color w:val="auto"/>
              </w:rPr>
            </w:pPr>
          </w:p>
        </w:tc>
        <w:tc>
          <w:tcPr>
            <w:tcW w:w="13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726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1,024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426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We plan to substantially increase our research and development expenses for the foreseeable future as we continue to conduct our ongoing research and development activities, advance our preclinical research programs toward clinical development, including conducting IND- and CTA-enabling studies, and conducting clinical trials. The process of conducting preclinical studies and clinical trials necessary to obtain regulatory approval is costly and time consuming. We may never succeed in achieving marketing approval for any of our product candidates.</w:t>
      </w:r>
    </w:p>
    <w:p>
      <w:pPr>
        <w:spacing w:after="0" w:line="112"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The timelines and costs with research and development activities are uncertain and can vary significantly for each product candidate and development program due to the inherently unpredictable nature of preclinical and clinical development. We anticipate we will make determinations as to which programs to pursue and how much funding to direct to each program on an ongoing basis in response to preclinical and clinical results, regulatory developments, and ongoing assessments as to each program’s commercial potential. We will need to raise substantial additional capital in the future.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development costs may vary significantly based on factors such as:</w:t>
      </w:r>
    </w:p>
    <w:p>
      <w:pPr>
        <w:spacing w:after="0" w:line="90" w:lineRule="exact"/>
        <w:rPr>
          <w:sz w:val="20"/>
          <w:szCs w:val="20"/>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animal and other preclinical studies and IND- or CTA-enabling studies;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jc w:val="both"/>
        <w:ind w:right="180" w:firstLine="449"/>
        <w:spacing w:after="0" w:line="306"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payroll taxes, employee benefits, and stock-based compensation charges for those individuals in executive, finance, facility operations, and other administrative functions. Other significant costs include legal fees relating to intellectual property and corporate matters, professional fees for accounting and consulting services, and insurance costs.</w:t>
      </w:r>
    </w:p>
    <w:p>
      <w:pPr>
        <w:spacing w:after="0" w:line="106" w:lineRule="exact"/>
        <w:rPr>
          <w:sz w:val="20"/>
          <w:szCs w:val="20"/>
          <w:color w:val="auto"/>
        </w:rPr>
      </w:pPr>
    </w:p>
    <w:p>
      <w:pPr>
        <w:jc w:val="both"/>
        <w:ind w:right="180" w:firstLine="449"/>
        <w:spacing w:after="0" w:line="335" w:lineRule="auto"/>
        <w:rPr>
          <w:sz w:val="20"/>
          <w:szCs w:val="20"/>
          <w:color w:val="auto"/>
        </w:rPr>
      </w:pPr>
      <w:r>
        <w:rPr>
          <w:rFonts w:ascii="Arial" w:cs="Arial" w:eastAsia="Arial" w:hAnsi="Arial"/>
          <w:sz w:val="15"/>
          <w:szCs w:val="15"/>
          <w:color w:val="auto"/>
        </w:rPr>
        <w:t>We anticipate that our general and administrative expenses will increase for the foreseeable future to support our continued research and development activities. We also anticipate increased expenses related to audit, legal, regulatory, and tax-related services associated with maintaining compliance with our exchange listing and SEC requirements, director and officer insurance premiums, and investor relations costs associated with operating as a public company.</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459" w:right="3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income consists primarily of interest earned on our cash deposits.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9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We classify our outstanding warrants to purchase shares of our Series A-2 convertible preferred stock as liabilities on our consolidated balance sheets at their estimated fair value as the underlying convertible preferred stock is classified as temporary equity. At the end of each reporting period, changes in the estimated fair value during the period are recorded as a component of other income (expense), net. We will continue to recognize changes in the fair value of our warrant liability until the warrants are exercised, expire, or qualify for equity classification. The warrants provide that, unless earlier exercised by the holders thereof, they will automatically be exercised on a net basis in connection with an initial public offering.</w:t>
      </w:r>
    </w:p>
    <w:p>
      <w:pPr>
        <w:spacing w:after="0" w:line="115"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color w:val="auto"/>
        </w:rPr>
        <w:t>In connection with this offering we will be required to pay Oxford University Innovation Limited, or OUI, an exit fee not to exceed £5.0 million (or $6.9 million as of June 30, 2021). As of June 30, 2021, we concluded the exit event was not probable and therefore no obligation was recorded. In connection with</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this offering, we have agreed to pay the amount of £ in satisfaction of these obligations. As a result, we anticipate that upon the closing of this offering, the success fee will be earned, and a liability will be recorded.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recorded a provision for federal or state income taxes as we have had cumulative net operating losses since inception.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2021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six months ended June 30, 2020 and 2021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ind w:left="8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1"/>
              </w:rPr>
              <w:t>Period-to-</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Period-to-Period</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2020</w:t>
            </w: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Period Change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Percentage Change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80" w:type="dxa"/>
            <w:vAlign w:val="bottom"/>
          </w:tcPr>
          <w:p>
            <w:pPr>
              <w:ind w:left="440"/>
              <w:spacing w:after="0"/>
              <w:rPr>
                <w:sz w:val="20"/>
                <w:szCs w:val="20"/>
                <w:color w:val="auto"/>
              </w:rPr>
            </w:pPr>
            <w:r>
              <w:rPr>
                <w:rFonts w:ascii="Arial" w:cs="Arial" w:eastAsia="Arial" w:hAnsi="Arial"/>
                <w:sz w:val="18"/>
                <w:szCs w:val="18"/>
                <w:color w:val="auto"/>
              </w:rPr>
              <w:t>Research and development (including related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660"/>
              <w:spacing w:after="0"/>
              <w:rPr>
                <w:sz w:val="20"/>
                <w:szCs w:val="20"/>
                <w:color w:val="auto"/>
              </w:rPr>
            </w:pPr>
            <w:r>
              <w:rPr>
                <w:rFonts w:ascii="Arial" w:cs="Arial" w:eastAsia="Arial" w:hAnsi="Arial"/>
                <w:sz w:val="18"/>
                <w:szCs w:val="18"/>
                <w:color w:val="auto"/>
              </w:rPr>
              <w:t>party amounts of $57 and $419, respectively)</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426</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8,746</w:t>
            </w:r>
          </w:p>
        </w:tc>
        <w:tc>
          <w:tcPr>
            <w:tcW w:w="6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8,320</w:t>
            </w:r>
          </w:p>
        </w:tc>
        <w:tc>
          <w:tcPr>
            <w:tcW w:w="70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7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11,820</w:t>
            </w:r>
          </w:p>
        </w:tc>
        <w:tc>
          <w:tcPr>
            <w:tcW w:w="140" w:type="dxa"/>
            <w:vAlign w:val="bottom"/>
          </w:tcPr>
          <w:p>
            <w:pPr>
              <w:spacing w:after="0"/>
              <w:rPr>
                <w:sz w:val="19"/>
                <w:szCs w:val="19"/>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11,069</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(11,820)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(11,069)</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(193)</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income (expense), net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(755)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(12,025)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(11,270)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Research and development expenses increased by $8.3 million from $0.4 million for the six months ended June 30, 2020, to $8.7 million for the six months ended June 30, 2021. This increase was attributable to increased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research and development activities related to the advancement of our pipeline programs, including a $7.5 million increase in preclinical and manufacturing costs and a $0.7 million increase in personnel related costs, including $40,000 in stock-based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260" w:firstLine="449"/>
        <w:spacing w:after="0" w:line="306" w:lineRule="auto"/>
        <w:rPr>
          <w:sz w:val="20"/>
          <w:szCs w:val="20"/>
          <w:color w:val="auto"/>
        </w:rPr>
      </w:pPr>
      <w:r>
        <w:rPr>
          <w:rFonts w:ascii="Arial" w:cs="Arial" w:eastAsia="Arial" w:hAnsi="Arial"/>
          <w:sz w:val="16"/>
          <w:szCs w:val="16"/>
          <w:color w:val="auto"/>
        </w:rPr>
        <w:t>General and administrative expenses increased by $2.7 million from $0.3 million for the six months ended June 30, 2020, to $3.1 million for the six months ended June 30, 2021. The increase was primarily attributable to a $1.8 million increase in professional and corporate legal fees, accounting services, consulting costs, recruiting fees, and an increase of $0.9 million in personnel related costs, including $0.5 million in stock-based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90" w:lineRule="exact"/>
        <w:rPr>
          <w:sz w:val="20"/>
          <w:szCs w:val="20"/>
          <w:color w:val="auto"/>
        </w:rPr>
      </w:pPr>
    </w:p>
    <w:p>
      <w:pPr>
        <w:ind w:right="120" w:firstLine="449"/>
        <w:spacing w:after="0" w:line="331" w:lineRule="auto"/>
        <w:rPr>
          <w:sz w:val="20"/>
          <w:szCs w:val="20"/>
          <w:color w:val="auto"/>
        </w:rPr>
      </w:pPr>
      <w:r>
        <w:rPr>
          <w:rFonts w:ascii="Arial" w:cs="Arial" w:eastAsia="Arial" w:hAnsi="Arial"/>
          <w:sz w:val="16"/>
          <w:szCs w:val="16"/>
          <w:color w:val="auto"/>
        </w:rPr>
        <w:t>Other expense was $12,000 for the six months ended June 30, 2020 compared to $0.2 million for the six months ended June 30, 2021. The increase was primarily related to the increase in the fair value of the warrants to purchase shares of our Series A-2 convertible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2020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w w:val="91"/>
              </w:rPr>
              <w:t>Year Ended December 31,</w:t>
            </w:r>
          </w:p>
        </w:tc>
        <w:tc>
          <w:tcPr>
            <w:tcW w:w="140" w:type="dxa"/>
            <w:vAlign w:val="bottom"/>
          </w:tcPr>
          <w:p>
            <w:pPr>
              <w:spacing w:after="0"/>
              <w:rPr>
                <w:sz w:val="20"/>
                <w:szCs w:val="20"/>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1"/>
              </w:rPr>
              <w:t>Period-to-</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Period-to-Period</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2019</w:t>
            </w: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Period Change</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Percentage Change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20" w:type="dxa"/>
            <w:vAlign w:val="bottom"/>
          </w:tcPr>
          <w:p>
            <w:pPr>
              <w:ind w:left="440"/>
              <w:spacing w:after="0"/>
              <w:rPr>
                <w:sz w:val="20"/>
                <w:szCs w:val="20"/>
                <w:color w:val="auto"/>
              </w:rPr>
            </w:pPr>
            <w:r>
              <w:rPr>
                <w:rFonts w:ascii="Arial" w:cs="Arial" w:eastAsia="Arial" w:hAnsi="Arial"/>
                <w:sz w:val="18"/>
                <w:szCs w:val="18"/>
                <w:color w:val="auto"/>
              </w:rPr>
              <w:t>Research and development (including related party</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660"/>
              <w:spacing w:after="0"/>
              <w:rPr>
                <w:sz w:val="20"/>
                <w:szCs w:val="20"/>
                <w:color w:val="auto"/>
              </w:rPr>
            </w:pPr>
            <w:r>
              <w:rPr>
                <w:rFonts w:ascii="Arial" w:cs="Arial" w:eastAsia="Arial" w:hAnsi="Arial"/>
                <w:sz w:val="18"/>
                <w:szCs w:val="18"/>
                <w:color w:val="auto"/>
              </w:rPr>
              <w:t>amounts of $87 and $152,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726</w:t>
            </w:r>
          </w:p>
        </w:tc>
        <w:tc>
          <w:tcPr>
            <w:tcW w:w="4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1,024</w:t>
            </w:r>
          </w:p>
        </w:tc>
        <w:tc>
          <w:tcPr>
            <w:tcW w:w="6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w:t>
            </w:r>
          </w:p>
        </w:tc>
        <w:tc>
          <w:tcPr>
            <w:tcW w:w="70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 (including related party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amounts of $22 and $0, respectively)</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7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1,877</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w:t>
            </w:r>
          </w:p>
        </w:tc>
        <w:tc>
          <w:tcPr>
            <w:tcW w:w="700" w:type="dxa"/>
            <w:vAlign w:val="bottom"/>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(1,877)</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(523)</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(22)</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income (expense),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(1,346)</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(1,889)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(543)</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Research and development expenses increased by $0.3 million from $0.7 million for the year ended December 31, 2019, to $1.0 million for the year ended December 31, 2020. This increase was attributable to increased research and development activities related to the advancement of our pipeline programs, including a $0.3 million increase in preclinical and manufacturing costs and a $0.1 million increase in personnel related costs. Research and development expenses for the years ended December 31, 2019 and 2020 include reimbursements of $0.5 million and $1.4 million, respectively relating to qualifying expenses under grant agreements. Grant reimbursements are recognized as a reduction of research and development expense in the period during which the related qualifying expenses are incurred. As of December 31, 2020, $0.2 million of funding remained available under the grant agreements.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jc w:val="both"/>
        <w:ind w:right="360" w:firstLine="449"/>
        <w:spacing w:after="0" w:line="259" w:lineRule="auto"/>
        <w:rPr>
          <w:sz w:val="20"/>
          <w:szCs w:val="20"/>
          <w:color w:val="auto"/>
        </w:rPr>
      </w:pPr>
      <w:r>
        <w:rPr>
          <w:rFonts w:ascii="Arial" w:cs="Arial" w:eastAsia="Arial" w:hAnsi="Arial"/>
          <w:sz w:val="18"/>
          <w:szCs w:val="18"/>
          <w:color w:val="auto"/>
        </w:rPr>
        <w:t>General and administrative expenses increased by $0.2 million from $0.6 million for the year ended December 31, 2019, to $0.9 million for the year ended December 31, 2020. The increase was primarily driven by an increase of $0.2 million in professional and corporate legal fees, accounting services, consulting, and personnel 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expense, net was $2,000 for the year ended December 31, 2019 compared to other income, net of $20,000 for the year ended December 31, 2020.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attributable to foreign currency losses recognized during the period.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From our inception through June 30, 2021, we have received aggregate gross proceeds of $30.4 million from the sale of our common stock and convertible preferred stock. Additionally, in July 2021, the existing Series A-2 convertible preferred stockholders exercised their right to purchase the remaining milestone closing shares and the Company sold 1,838,233 shares of Series A-2 convertible preferred stock at $11.42 per share for aggregate gross proceeds of $21.0 million. Further, in July 2021, the Company sold 7,234,766 shares of Series B convertible preferred stock at $15.55 per share for aggregate gross proceeds of $112.5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 of June 30, 2021, we had cash in the amount of $16.3 million. Based on our current operating plan, we believe that our existing cash, including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proceeds of $21.0 million from the final Series A-2 milestone closing and proceeds of $112.5 million from our Series B convertible preferred stock financing in</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July 2021, together with the estimated net proceeds from this offering, will be sufficient to fund our operations into .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 but not limited to:</w:t>
      </w:r>
    </w:p>
    <w:p>
      <w:pPr>
        <w:spacing w:after="0" w:line="90" w:lineRule="exact"/>
        <w:rPr>
          <w:sz w:val="20"/>
          <w:szCs w:val="20"/>
          <w:color w:val="auto"/>
        </w:rPr>
      </w:pPr>
    </w:p>
    <w:p>
      <w:pPr>
        <w:ind w:left="880" w:right="680" w:hanging="427"/>
        <w:spacing w:after="0" w:line="268"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type, number, scope, progress, expansions, results, costs, and timing of, discovery, preclinical studies and clinical trials of our product candidates which we are pursuing or may choose to pursue in the future;</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costs and timing of manufacturing for our product candidates and commercial manufacturing if any product candidate is approved;</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licenses and other similar arrangements;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legal costs of obtaining, maintaining, and enforcing our patents and other intellectual property rights;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90" w:lineRule="exact"/>
        <w:rPr>
          <w:rFonts w:ascii="Arial" w:cs="Arial" w:eastAsia="Arial" w:hAnsi="Arial"/>
          <w:sz w:val="18"/>
          <w:szCs w:val="18"/>
          <w:color w:val="auto"/>
        </w:rPr>
      </w:pPr>
    </w:p>
    <w:p>
      <w:pPr>
        <w:ind w:left="880" w:right="140" w:hanging="427"/>
        <w:spacing w:after="0" w:line="268"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 and</w:t>
      </w:r>
    </w:p>
    <w:p>
      <w:pPr>
        <w:spacing w:after="0" w:line="172"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171"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color w:val="auto"/>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drug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our drug candidates even if we would otherwise prefer to develop and market such drug candidates ourselves.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2021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the net cash flow activity for the six months ended June 30, 2020 and 2021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3"/>
              </w:rPr>
              <w:t>Six Months Ended June 30,</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(848)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400" w:type="dxa"/>
            <w:vAlign w:val="bottom"/>
          </w:tcPr>
          <w:p>
            <w:pPr>
              <w:ind w:left="88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15,813</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Net (decrease) increase in cash</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(1,075)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months ended June 30, 2020, net cash used in operating activities was $0.8 million primarily resulting from our net loss of $0.8 million.</w:t>
      </w:r>
    </w:p>
    <w:p>
      <w:pPr>
        <w:spacing w:after="0" w:line="194"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During the six months ended June 30, 2021, net cash used in operating activities was $9.0 million resulting from our net loss of $12.0 million partially offset by cash provided by changes in our operating assets and liabilities of $2.4 million and non-cash charges of $0.7 million. The net changes in our operating assets and liabilities were primarily due to increases in accrued expenses and accounts payable of $4.3 million due to our ongoing preclinical and manufacturing efforts, partially offset by a net increase in other receivables, prepaid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other current assets, and other assets of $2.1 million. The non-cash charges primarily included $0.5 million of stock-based compensation expense and $0.2 million related to the increase in the fair value of our preferred stock warrant liability.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60" w:firstLine="449"/>
        <w:spacing w:after="0" w:line="331" w:lineRule="auto"/>
        <w:rPr>
          <w:sz w:val="20"/>
          <w:szCs w:val="20"/>
          <w:color w:val="auto"/>
        </w:rPr>
      </w:pPr>
      <w:r>
        <w:rPr>
          <w:rFonts w:ascii="Arial" w:cs="Arial" w:eastAsia="Arial" w:hAnsi="Arial"/>
          <w:sz w:val="16"/>
          <w:szCs w:val="16"/>
          <w:color w:val="auto"/>
        </w:rPr>
        <w:t>There was no net cash used in investing activities for the six months ended June 30, 2020 as compared to $0.3 million during the six months ended June 30, 2021. The increase in net cash used in investing activities was primarily due to an increase in purchases of property and equipment.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financing activities was $3,000 during the six months ended June 30, 2020 as compared to net cash provided by financing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$15.8 million during the six months ended June 30, 2021. The increase in net cash provided by financing activities was primarily due to the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 million raised from the sale of shares of our Series A-2 convertible preferred stock, partially offset by $0.2 million in deferred offering costs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Series B convertible preferred stock financing and our planned initial public offering.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the net cash flow activity for the years ended December 31, 2019 and 2020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w w:val="94"/>
              </w:rPr>
              <w:t>Year Ended December 31,</w:t>
            </w:r>
          </w:p>
        </w:tc>
        <w:tc>
          <w:tcPr>
            <w:tcW w:w="0" w:type="dxa"/>
            <w:vAlign w:val="bottom"/>
          </w:tcPr>
          <w:p>
            <w:pPr>
              <w:spacing w:after="0"/>
              <w:rPr>
                <w:sz w:val="1"/>
                <w:szCs w:val="1"/>
                <w:color w:val="auto"/>
              </w:rPr>
            </w:pPr>
          </w:p>
        </w:tc>
      </w:tr>
      <w:tr>
        <w:trPr>
          <w:trHeight w:val="211"/>
        </w:trPr>
        <w:tc>
          <w:tcPr>
            <w:tcW w:w="85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(885)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520" w:type="dxa"/>
            <w:vAlign w:val="bottom"/>
          </w:tcPr>
          <w:p>
            <w:pPr>
              <w:ind w:left="88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2,790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Net increase in cash</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1,938</w:t>
            </w:r>
          </w:p>
        </w:tc>
        <w:tc>
          <w:tcPr>
            <w:tcW w:w="4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For the year ended December 31, 2019, net cash used in operating activities was $0.9 million resulting from our net loss of $1.3 million partially offset by cash provided by changes in our operating assets and liabilities of $0.4 million and non-cash charges of $0.1 million. The net changes in our operating assets and liabilities were primarily due to decreases in prepaid expenses and other current assets and increases in accrued expenses and accounts payable. The non-cash charges included approximately $0.1 million of depreciation expense.</w:t>
      </w:r>
    </w:p>
    <w:p>
      <w:pPr>
        <w:spacing w:after="0" w:line="143" w:lineRule="exact"/>
        <w:rPr>
          <w:sz w:val="20"/>
          <w:szCs w:val="20"/>
          <w:color w:val="auto"/>
        </w:rPr>
      </w:pPr>
    </w:p>
    <w:p>
      <w:pPr>
        <w:ind w:right="20" w:firstLine="449"/>
        <w:spacing w:after="0" w:line="335" w:lineRule="auto"/>
        <w:rPr>
          <w:sz w:val="20"/>
          <w:szCs w:val="20"/>
          <w:color w:val="auto"/>
        </w:rPr>
      </w:pPr>
      <w:r>
        <w:rPr>
          <w:rFonts w:ascii="Arial" w:cs="Arial" w:eastAsia="Arial" w:hAnsi="Arial"/>
          <w:sz w:val="15"/>
          <w:szCs w:val="15"/>
          <w:color w:val="auto"/>
        </w:rPr>
        <w:t>For the year ended December 31, 2020, net cash used in operating activities was $1.7 million resulting from our net loss of $1.9 million partially offset by non-cash charges of $0.2 million. There were no net changes in our operating assets and liabilities as increases in accounts payable, were offset by decreases in other current assets. The non-cash charges included $0.1 million of depreciation expense and $0.1 million of stock-based compensation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Net cash used in investing activities was $29,000 during the year ended December 31, 2019 as compared to $8,000 during the year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2020. The decrease in net cash used in investing activities was primarily due to a decrease in purchases of property and equipment.</w:t>
      </w:r>
    </w:p>
    <w:p>
      <w:pPr>
        <w:spacing w:after="0" w:line="15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financing activities was $2.8 million during the year ended December 31, 2019 as compared to $8.0 million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increase in net cash provided by financing activities was primarily due to the proceeds of $8.0 million raised from the sale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A-2 convertible preferred stock, as opposed to proceeds of $2.8 million raised from the sale of our common stock in the comparable period.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As of June 30, 2021, we do not have any long-term debt obligations, capital lease obligations, purchase obligations or long-term liabilities. We have three short term operating leases. We have two operating leases for office and laboratory space located in Cambridge, Massachusetts, which are both cancelable within 30 days of a written notice and one operating lease for laboratory space in Oxford, United Kingdom with a one year annual renewal, which expires in September 2021.</w:t>
      </w:r>
    </w:p>
    <w:p>
      <w:pPr>
        <w:spacing w:after="0" w:line="143"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We enter into contracts in the normal course of business for contract research services, contract manufacturing services, professional services and other services and products for operating purposes. These contracts generally provide for termination after a notice period, and, therefore, are considered cancelable contracts.</w:t>
      </w:r>
    </w:p>
    <w:p>
      <w:pPr>
        <w:spacing w:after="0" w:line="140"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We have also entered into a license agreement with Oxford University Innovation Limited, or OUI, and the Medical Research Council of United Kingdom Research and Innovation, or MRC, under which we are obligated to make specified milestone and royalty payments. We paid a completion fee of £50,000 upon signing and upfront fees in an aggregate amount of £30,000, and are obligated to pay to OUI low, single-digit royalties, on net sales of any OUI/MRC Licensed Products in excess a threshold amount between £20 million and £30 million that are commercialized by us or our sublicensees, subject to certain adjustments. The payment obligations under this license agreement are contingent upon future events, such as our achievement of specified development, regulatory and commercial milestones, or generating product sales. We are unable to estimate the timing or likelihood of achieving these milestones or generating future product sales.</w:t>
      </w:r>
    </w:p>
    <w:p>
      <w:pPr>
        <w:spacing w:after="0" w:line="147" w:lineRule="exact"/>
        <w:rPr>
          <w:sz w:val="20"/>
          <w:szCs w:val="20"/>
          <w:color w:val="auto"/>
        </w:rPr>
      </w:pPr>
    </w:p>
    <w:p>
      <w:pPr>
        <w:ind w:right="100" w:firstLine="449"/>
        <w:spacing w:after="0" w:line="285" w:lineRule="auto"/>
        <w:rPr>
          <w:sz w:val="20"/>
          <w:szCs w:val="20"/>
          <w:color w:val="auto"/>
        </w:rPr>
      </w:pPr>
      <w:r>
        <w:rPr>
          <w:rFonts w:ascii="Arial" w:cs="Arial" w:eastAsia="Arial" w:hAnsi="Arial"/>
          <w:sz w:val="16"/>
          <w:szCs w:val="16"/>
          <w:color w:val="auto"/>
        </w:rPr>
        <w:t>In connection with this offering, we also will be required to pay OUI an exit fee between 0.5% to 2% of the value determined in this offering, not to exceed £5.0 million (or $6.9 million as of June 30, 2021). In lieu of paying the exit fee, we have the option to pay a buy out fee, which can be paid at any time</w:t>
      </w:r>
    </w:p>
    <w:p>
      <w:pPr>
        <w:spacing w:after="0" w:line="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to release us from our obligation to pay the exit fee. In connection with this offering, we have agreed to pay the amount of £ in satisfaction of these obligations.</w:t>
      </w:r>
    </w:p>
    <w:p>
      <w:pPr>
        <w:spacing w:after="0" w:line="139" w:lineRule="exact"/>
        <w:rPr>
          <w:sz w:val="20"/>
          <w:szCs w:val="20"/>
          <w:color w:val="auto"/>
        </w:rPr>
      </w:pPr>
    </w:p>
    <w:p>
      <w:pPr>
        <w:ind w:right="440" w:firstLine="449"/>
        <w:spacing w:after="0" w:line="268" w:lineRule="auto"/>
        <w:rPr>
          <w:sz w:val="20"/>
          <w:szCs w:val="20"/>
          <w:color w:val="auto"/>
        </w:rPr>
      </w:pPr>
      <w:r>
        <w:rPr>
          <w:rFonts w:ascii="Arial" w:cs="Arial" w:eastAsia="Arial" w:hAnsi="Arial"/>
          <w:sz w:val="18"/>
          <w:szCs w:val="18"/>
          <w:color w:val="auto"/>
        </w:rPr>
        <w:t>For more information about our license agreement with OUI and MRC, see “Business—Intellectual Property—License agreement with the Oxford University Innovation Limited and the Medical Research Council of United Kingdom Research and Innovation.”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off-balance sheet arrangements as defined under rules and regulations of the SEC.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9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are prepared in accordance with generally accepted accounting principles in the United States, or GAAP. The preparation of our financial statements requires us to make estimates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management discussion assumptions that affect the reported amounts of assets, liabilities, costs, and expenses and the disclosure of contingent assets and liabilities in our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2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 xml:space="preserve">While our significant accounting policies are more fully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consolidated financial statements appearing elsewhere in this prospectus, we believe that the following accounting policies are the most critical for fully understanding and evaluating our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Accrued Research and Development Costs</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are required to estimate our expenses resulting from obligations under contracts with vendors, consultants and CROs, in connection with conducting research and development activities. The financial terms of these contracts are subject to negotiations, which vary from contract to contract and may result in payment flows that do not match the periods over which materials or services are provided under such contracts. We reflect research and development expenses in our financial statements by matching those expenses with the period in which services and efforts are expended. We account for these expenses according to the progress of the preclinical or clinical study as measured by the timing of various aspects of the study or related activities. We determine accrual estimates through review of the underlying contracts along with preparation of financial models taking into account discussions with research and other key personnel as to the progress of studies, or other services being conducted. During the course of a study, we adjust our rate of expense recognition if actual results differ from our estimates.</w:t>
      </w:r>
    </w:p>
    <w:p>
      <w:pPr>
        <w:spacing w:after="0" w:line="124" w:lineRule="exact"/>
        <w:rPr>
          <w:sz w:val="20"/>
          <w:szCs w:val="20"/>
          <w:color w:val="auto"/>
        </w:rPr>
      </w:pPr>
    </w:p>
    <w:p>
      <w:pPr>
        <w:jc w:val="both"/>
        <w:ind w:right="200" w:firstLine="449"/>
        <w:spacing w:after="0" w:line="306"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280" w:firstLine="449"/>
        <w:spacing w:after="0" w:line="259"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(usually the vesting period) on a straight-line or accelerated basis. We estimate the fair value of stock option awards using the Black-Scholes option pricing model and recognize forfeitures as they occur.</w:t>
      </w:r>
    </w:p>
    <w:p>
      <w:pPr>
        <w:spacing w:after="0" w:line="140"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 xml:space="preserve">The Black-Scholes option pricing model requires the use of subjective assumptions, including the risk-free interest rate, the expected stock price volatility, the expected term of stock options, the expected dividend yield, and the fair value of the underlying common stock on the date of grant. Changes in the assumptions can materially affect the fair value and ultimately how much stock-based compensation expense is recognized. These inputs are subjective and generally require judgment to develop. See Note 9,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to our condensed consolidated financial statements included elsewhere in this prospectus for information concerning certain of the specific assumptions we used in applying the Black-Scholes option pricing model to determine the estimated fair value of our stock options granted in the years ended December 31, 2020 and the six months ended June 30, 2021. Stock-based compensation totaled $0.1 million, for the year ended December 31, 2020 and $0.5 million for the six months ended June 30, 2021. There were no stock options granted during the year ended December 31, 2019 or the six months ended June 30, 2020.</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80" w:firstLine="449"/>
        <w:spacing w:after="0" w:line="304" w:lineRule="auto"/>
        <w:rPr>
          <w:sz w:val="20"/>
          <w:szCs w:val="20"/>
          <w:color w:val="auto"/>
        </w:rPr>
      </w:pPr>
      <w:r>
        <w:rPr>
          <w:rFonts w:ascii="Arial" w:cs="Arial" w:eastAsia="Arial" w:hAnsi="Arial"/>
          <w:sz w:val="15"/>
          <w:szCs w:val="15"/>
          <w:color w:val="auto"/>
        </w:rPr>
        <w:t>As of June 30, 2021, the unrecognized stock-based compensation expense related to stock options was $0.6 million which is expected to be recognized as expense over a weighted-average period of approximately 3 years. The intrinsic value of all outstanding stock options as of June 30, 2021 was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approximately $ million, based on the assumed public offering price of $ per share, which is the midpoint of the estimated offering price range set forth on the cover page of this prospectus, of which approximately $ million related to vested options and approximately $ million related to unvested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 and Stock Option Grants</w:t>
      </w:r>
    </w:p>
    <w:p>
      <w:pPr>
        <w:spacing w:after="0" w:line="9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We are required to estimate the fair value of the common stock underlying our stock-based awards when performing fair value calculations using the Black-Scholes option pricing model. Because our common stock is not currently publicly traded, the fair value of the common stock underlying our stock-based awards has been determined on each grant date by our board of directors,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15"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Our determination of the value of our common stock was performed using methodologies, approaches, and assumptions consistent with the American Institute of Certified Public Accountants, or AICPA, Audit and Accounting Practice Aid Series: Valuation of Privately Held Company Equity Securities Issued as Compensation, or the AICPA Practice Aid. In addition, our board of directors considered various objective and subjective factors to determine the fair value of our common stock, including:</w:t>
      </w:r>
    </w:p>
    <w:p>
      <w:pPr>
        <w:spacing w:after="0" w:line="62" w:lineRule="exact"/>
        <w:rPr>
          <w:sz w:val="20"/>
          <w:szCs w:val="20"/>
          <w:color w:val="auto"/>
        </w:rPr>
      </w:pPr>
    </w:p>
    <w:p>
      <w:pPr>
        <w:ind w:left="880" w:hanging="427"/>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valuations of our common stock performed with the assistance of independent third-party valuation specialists;</w:t>
      </w:r>
    </w:p>
    <w:p>
      <w:pPr>
        <w:spacing w:after="0" w:line="90" w:lineRule="exact"/>
        <w:rPr>
          <w:rFonts w:ascii="Arial" w:cs="Arial" w:eastAsia="Arial" w:hAnsi="Arial"/>
          <w:sz w:val="18"/>
          <w:szCs w:val="18"/>
          <w:color w:val="auto"/>
        </w:rPr>
      </w:pPr>
    </w:p>
    <w:p>
      <w:pPr>
        <w:ind w:left="880" w:right="600" w:hanging="427"/>
        <w:spacing w:after="0" w:line="268"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stage of development and business strategy, including the status of research and development efforts of our product candidates, and the material risks related to our business and industry;</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90"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90" w:lineRule="exact"/>
        <w:rPr>
          <w:rFonts w:ascii="Arial" w:cs="Arial" w:eastAsia="Arial" w:hAnsi="Arial"/>
          <w:sz w:val="18"/>
          <w:szCs w:val="18"/>
          <w:color w:val="auto"/>
        </w:rPr>
      </w:pPr>
    </w:p>
    <w:p>
      <w:pPr>
        <w:ind w:left="880" w:right="660" w:hanging="427"/>
        <w:spacing w:after="0" w:line="268"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investors in arm’s length transactions and the rights, preferences, and privileges of our convertible preferred stock relative to those of our common stock;</w:t>
      </w:r>
    </w:p>
    <w:p>
      <w:pPr>
        <w:spacing w:after="0" w:line="50" w:lineRule="exact"/>
        <w:rPr>
          <w:rFonts w:ascii="Arial" w:cs="Arial" w:eastAsia="Arial" w:hAnsi="Arial"/>
          <w:sz w:val="18"/>
          <w:szCs w:val="18"/>
          <w:color w:val="auto"/>
        </w:rPr>
      </w:pPr>
    </w:p>
    <w:p>
      <w:pPr>
        <w:ind w:left="880" w:right="80" w:hanging="427"/>
        <w:spacing w:after="0" w:line="268"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71" w:lineRule="exact"/>
        <w:rPr>
          <w:sz w:val="20"/>
          <w:szCs w:val="20"/>
          <w:color w:val="auto"/>
        </w:rPr>
      </w:pPr>
    </w:p>
    <w:p>
      <w:pPr>
        <w:ind w:right="260" w:firstLine="449"/>
        <w:spacing w:after="0" w:line="331" w:lineRule="auto"/>
        <w:rPr>
          <w:sz w:val="20"/>
          <w:szCs w:val="20"/>
          <w:color w:val="auto"/>
        </w:rPr>
      </w:pPr>
      <w:r>
        <w:rPr>
          <w:rFonts w:ascii="Arial" w:cs="Arial" w:eastAsia="Arial" w:hAnsi="Arial"/>
          <w:sz w:val="16"/>
          <w:szCs w:val="16"/>
          <w:color w:val="auto"/>
        </w:rPr>
        <w:t>The AICPA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87" w:lineRule="exact"/>
        <w:rPr>
          <w:sz w:val="20"/>
          <w:szCs w:val="20"/>
          <w:color w:val="auto"/>
        </w:rPr>
      </w:pPr>
    </w:p>
    <w:p>
      <w:pPr>
        <w:ind w:right="280" w:firstLine="449"/>
        <w:spacing w:after="0" w:line="256" w:lineRule="auto"/>
        <w:rPr>
          <w:sz w:val="20"/>
          <w:szCs w:val="20"/>
          <w:color w:val="auto"/>
        </w:rPr>
      </w:pPr>
      <w:r>
        <w:rPr>
          <w:rFonts w:ascii="Arial" w:cs="Arial" w:eastAsia="Arial" w:hAnsi="Arial"/>
          <w:sz w:val="18"/>
          <w:szCs w:val="18"/>
          <w:i w:val="1"/>
          <w:iCs w:val="1"/>
          <w:color w:val="auto"/>
        </w:rPr>
        <w:t>Option Pricing Method, or OPM</w:t>
      </w:r>
      <w:r>
        <w:rPr>
          <w:rFonts w:ascii="Arial" w:cs="Arial" w:eastAsia="Arial" w:hAnsi="Arial"/>
          <w:sz w:val="18"/>
          <w:szCs w:val="18"/>
          <w:color w:val="auto"/>
        </w:rPr>
        <w:t>—Under the OPM, shares are valued by creating a series of call options with exercise prices based on the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and conversion terms of each equity class. The estimated fair values of the preferred and common stock are inferred by analyzing these options. This method is appropriate to use when the range of possible future outcomes is so difficult to predict that estimates would be highly speculative, and dissolution or liquidation is not imminent.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i w:val="1"/>
          <w:iCs w:val="1"/>
          <w:color w:val="auto"/>
        </w:rPr>
        <w:t xml:space="preserve">Probability—Weighted Expected Return Method, or PWERM - </w:t>
      </w:r>
      <w:r>
        <w:rPr>
          <w:rFonts w:ascii="Arial" w:cs="Arial" w:eastAsia="Arial" w:hAnsi="Arial"/>
          <w:sz w:val="18"/>
          <w:szCs w:val="18"/>
          <w:color w:val="auto"/>
        </w:rPr>
        <w:t>The PWERM is a scenario-based analysis that estimates value per share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Hybrid Method</w:t>
      </w:r>
      <w:r>
        <w:rPr>
          <w:rFonts w:ascii="Arial" w:cs="Arial" w:eastAsia="Arial" w:hAnsi="Arial"/>
          <w:sz w:val="18"/>
          <w:szCs w:val="18"/>
          <w:color w:val="auto"/>
        </w:rPr>
        <w:t>—The hybrid method is a PWERM where the equity value in one or more scenarios is calculated using an OPM.</w:t>
      </w:r>
    </w:p>
    <w:p>
      <w:pPr>
        <w:spacing w:after="0" w:line="171"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Based on our early stage of development, the difficulty in predicting the range of specific outcomes (and their likelihood) and other relevant factors, we determined that an OPM was the most appropriate method for allocating our enterprise value to determine the estimated fair value of our common stock for valuation dates through 2020. In order to determine the fair value of our common stock on a marketable basis, we then applied a discount for lack of marketability which we derived based on inputs including a company-specific volatility rate, a term equal to the expected time to a future liquidity event and a risk-free rate equal to the yield on treasuries of similar duration.</w:t>
      </w:r>
    </w:p>
    <w:p>
      <w:pPr>
        <w:spacing w:after="0" w:line="11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2021, we incorporated the Hybrid Method into the valuation process as a result of our November 2020 Series A preferred stock financing and the likelihood of the occurrence of certain discrete events, such as an initial public offering, which is a result of improving market conditions and receptivity of the market to initial public offerings. In the PWERM, we established our enterprise value utilizing our recent financing rounds and a future enterprise vale based on precedent initial public offerings. The enterprise value determined under the PWERM and OPM was weighted according to management’s estimate of the probability of the occurrence of a potential initial public offering as of the valuation date. The resulting equity value for our common stock was then determined by taking the per share value from each approach and applying their respective weightings to arrive at a per share value on a non-marketable basis. In order to determine the fair value of our common stock on a marketable basis, we then applied a discount for lack of marketability which we derived based on inputs including a company-specific volatility rate, a term equal to the expected time to a future liquidity event and a risk-free rate equal to the yield on treasuries of similar duration.</w:t>
      </w:r>
    </w:p>
    <w:p>
      <w:pPr>
        <w:spacing w:after="0" w:line="119" w:lineRule="exact"/>
        <w:rPr>
          <w:sz w:val="20"/>
          <w:szCs w:val="20"/>
          <w:color w:val="auto"/>
        </w:rPr>
      </w:pPr>
    </w:p>
    <w:p>
      <w:pPr>
        <w:ind w:right="240" w:firstLine="449"/>
        <w:spacing w:after="0" w:line="256" w:lineRule="auto"/>
        <w:rPr>
          <w:sz w:val="20"/>
          <w:szCs w:val="20"/>
          <w:color w:val="auto"/>
        </w:rPr>
      </w:pPr>
      <w:r>
        <w:rPr>
          <w:rFonts w:ascii="Arial" w:cs="Arial" w:eastAsia="Arial" w:hAnsi="Arial"/>
          <w:sz w:val="18"/>
          <w:szCs w:val="18"/>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and the determination of the appropriate valuation methods. If we had made different assumptions, our stock-based compensation expense, net loss, and net loss per common share could have been significantly different.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The following table sets forth by grant date the number of shares subject to stock options granted from March 22, 2021, the date we first granted options in PepGen Inc., through the date of this prospectus, the per share exercise price of options, the fair value of common stock per share on each grant date, and the per share estimated fair value of options: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Shares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Per Share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92"/>
              </w:rPr>
              <w:t>Fair Value per</w:t>
            </w:r>
          </w:p>
        </w:tc>
        <w:tc>
          <w:tcPr>
            <w:tcW w:w="12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w w:val="93"/>
              </w:rPr>
              <w:t>Grant Date</w:t>
            </w:r>
          </w:p>
        </w:tc>
        <w:tc>
          <w:tcPr>
            <w:tcW w:w="2440" w:type="dxa"/>
            <w:vAlign w:val="bottom"/>
            <w:gridSpan w:val="2"/>
            <w:vMerge w:val="restart"/>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Subject to Options</w:t>
            </w:r>
          </w:p>
        </w:tc>
        <w:tc>
          <w:tcPr>
            <w:tcW w:w="76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Exercise Price of</w:t>
            </w:r>
          </w:p>
        </w:tc>
        <w:tc>
          <w:tcPr>
            <w:tcW w:w="38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Common Share on</w:t>
            </w:r>
          </w:p>
        </w:tc>
        <w:tc>
          <w:tcPr>
            <w:tcW w:w="1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Estimated Fair</w:t>
            </w:r>
          </w:p>
        </w:tc>
        <w:tc>
          <w:tcPr>
            <w:tcW w:w="0" w:type="dxa"/>
            <w:vAlign w:val="bottom"/>
          </w:tcPr>
          <w:p>
            <w:pPr>
              <w:spacing w:after="0"/>
              <w:rPr>
                <w:sz w:val="1"/>
                <w:szCs w:val="1"/>
                <w:color w:val="auto"/>
              </w:rPr>
            </w:pPr>
          </w:p>
        </w:tc>
      </w:tr>
      <w:tr>
        <w:trPr>
          <w:trHeight w:val="237"/>
        </w:trPr>
        <w:tc>
          <w:tcPr>
            <w:tcW w:w="880" w:type="dxa"/>
            <w:vAlign w:val="bottom"/>
            <w:tcBorders>
              <w:bottom w:val="single" w:sz="8" w:color="auto"/>
            </w:tcBorders>
            <w:vMerge w:val="continue"/>
          </w:tcPr>
          <w:p>
            <w:pPr>
              <w:spacing w:after="0"/>
              <w:rPr>
                <w:sz w:val="20"/>
                <w:szCs w:val="20"/>
                <w:color w:val="auto"/>
              </w:rPr>
            </w:pPr>
          </w:p>
        </w:tc>
        <w:tc>
          <w:tcPr>
            <w:tcW w:w="2440" w:type="dxa"/>
            <w:vAlign w:val="bottom"/>
            <w:gridSpan w:val="2"/>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Granted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Options(1)</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w w:val="96"/>
              </w:rPr>
              <w:t>Grant Date(1)</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3"/>
              </w:rPr>
              <w:t>Value of Options(2)</w:t>
            </w:r>
          </w:p>
        </w:tc>
        <w:tc>
          <w:tcPr>
            <w:tcW w:w="0" w:type="dxa"/>
            <w:vAlign w:val="bottom"/>
          </w:tcPr>
          <w:p>
            <w:pPr>
              <w:spacing w:after="0"/>
              <w:rPr>
                <w:sz w:val="1"/>
                <w:szCs w:val="1"/>
                <w:color w:val="auto"/>
              </w:rPr>
            </w:pPr>
          </w:p>
        </w:tc>
      </w:tr>
      <w:tr>
        <w:trPr>
          <w:trHeight w:val="203"/>
        </w:trPr>
        <w:tc>
          <w:tcPr>
            <w:tcW w:w="33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March 22, 2021(3)</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86,772</w:t>
            </w:r>
          </w:p>
        </w:tc>
        <w:tc>
          <w:tcPr>
            <w:tcW w:w="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2.66</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March 22, 2021(4)</w:t>
            </w:r>
          </w:p>
        </w:tc>
        <w:tc>
          <w:tcPr>
            <w:tcW w:w="1400" w:type="dxa"/>
            <w:vAlign w:val="bottom"/>
          </w:tcPr>
          <w:p>
            <w:pPr>
              <w:jc w:val="right"/>
              <w:spacing w:after="0"/>
              <w:rPr>
                <w:sz w:val="20"/>
                <w:szCs w:val="20"/>
                <w:color w:val="auto"/>
              </w:rPr>
            </w:pPr>
            <w:r>
              <w:rPr>
                <w:rFonts w:ascii="Arial" w:cs="Arial" w:eastAsia="Arial" w:hAnsi="Arial"/>
                <w:sz w:val="18"/>
                <w:szCs w:val="18"/>
                <w:color w:val="auto"/>
              </w:rPr>
              <w:t>7,330</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4.87</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2.66</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22, 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459,774</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March 30, 2021</w:t>
            </w:r>
          </w:p>
        </w:tc>
        <w:tc>
          <w:tcPr>
            <w:tcW w:w="1400" w:type="dxa"/>
            <w:vAlign w:val="bottom"/>
          </w:tcPr>
          <w:p>
            <w:pPr>
              <w:jc w:val="right"/>
              <w:spacing w:after="0"/>
              <w:rPr>
                <w:sz w:val="20"/>
                <w:szCs w:val="20"/>
                <w:color w:val="auto"/>
              </w:rPr>
            </w:pPr>
            <w:r>
              <w:rPr>
                <w:rFonts w:ascii="Arial" w:cs="Arial" w:eastAsia="Arial" w:hAnsi="Arial"/>
                <w:sz w:val="18"/>
                <w:szCs w:val="18"/>
                <w:color w:val="auto"/>
              </w:rPr>
              <w:t>21,760</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2.66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2.66</w:t>
            </w:r>
          </w:p>
        </w:tc>
        <w:tc>
          <w:tcPr>
            <w:tcW w:w="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49,328</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August 30, 2021</w:t>
            </w:r>
          </w:p>
        </w:tc>
        <w:tc>
          <w:tcPr>
            <w:tcW w:w="1400" w:type="dxa"/>
            <w:vAlign w:val="bottom"/>
          </w:tcPr>
          <w:p>
            <w:pPr>
              <w:jc w:val="right"/>
              <w:spacing w:after="0"/>
              <w:rPr>
                <w:sz w:val="20"/>
                <w:szCs w:val="20"/>
                <w:color w:val="auto"/>
              </w:rPr>
            </w:pPr>
            <w:r>
              <w:rPr>
                <w:rFonts w:ascii="Arial" w:cs="Arial" w:eastAsia="Arial" w:hAnsi="Arial"/>
                <w:sz w:val="18"/>
                <w:szCs w:val="18"/>
                <w:color w:val="auto"/>
              </w:rPr>
              <w:t>122,035</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8.80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 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158,537</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September 6, 2021</w:t>
            </w:r>
          </w:p>
        </w:tc>
        <w:tc>
          <w:tcPr>
            <w:tcW w:w="1400" w:type="dxa"/>
            <w:vAlign w:val="bottom"/>
          </w:tcPr>
          <w:p>
            <w:pPr>
              <w:jc w:val="right"/>
              <w:spacing w:after="0"/>
              <w:rPr>
                <w:sz w:val="20"/>
                <w:szCs w:val="20"/>
                <w:color w:val="auto"/>
              </w:rPr>
            </w:pPr>
            <w:r>
              <w:rPr>
                <w:rFonts w:ascii="Arial" w:cs="Arial" w:eastAsia="Arial" w:hAnsi="Arial"/>
                <w:sz w:val="18"/>
                <w:szCs w:val="18"/>
                <w:color w:val="auto"/>
              </w:rPr>
              <w:t>483,704</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8.80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34,658</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11.56</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1,423,898</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8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40" w:right="40" w:hanging="432"/>
        <w:spacing w:after="0" w:line="268" w:lineRule="auto"/>
        <w:tabs>
          <w:tab w:leader="none" w:pos="4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The per share exercise price of options represents the fair value of our common stock on the date of grant, as determined by our board of directors, after taking into account our most recently available contemporaneous valuation of our common stock as well as additional factors that may have changed since the date of such contemporaneous valuation through the date of grant.</w:t>
      </w:r>
    </w:p>
    <w:p>
      <w:pPr>
        <w:ind w:left="440" w:hanging="432"/>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 per share estimated fair value of options reflects the weighted average fair value of options granted on each grant date, determined using the Black-Scholes option pricing model.</w:t>
      </w:r>
    </w:p>
    <w:p>
      <w:pPr>
        <w:ind w:left="440" w:hanging="432"/>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These options were granted at par value.</w:t>
      </w:r>
    </w:p>
    <w:p>
      <w:pPr>
        <w:ind w:left="440" w:hanging="432"/>
        <w:spacing w:after="0"/>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This option was granted based on a pre-determined price.</w:t>
      </w:r>
    </w:p>
    <w:p>
      <w:pPr>
        <w:ind w:left="440" w:right="260" w:hanging="432"/>
        <w:spacing w:after="0" w:line="247" w:lineRule="auto"/>
        <w:tabs>
          <w:tab w:leader="none" w:pos="4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We intend to determine our compensation expense relating to the August and September awards in connection with our preparation and review of our unaudited condensed consolidated financial statements for the period ending September 30, 2021. Once determined, our estimate of the grant date fair value of these share-based awards will be reflected in the financial statements relating to such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As of June 30, 2021, we had $16.3 million in cash consisting of cash in a readily available checking account. We do not hold any short-term investments. As a result, the fair value of our portfolio is relatively insensitive to interest rate changes. Due to the nature of our cash, an immediate hypothetical 10% change in interest rates would not have a material effect on the fair value of our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We are exposed to foreign exchange rate risk. Our headquarters is located in the United States, where the majority of our general and administrative expenses and research and development costs are incurred in U.S. dollars. A portion of our research and development and personnel costs are incurred by our subsidiary in the United Kingdom, where we engage in transactions and whose functional currency is in Great British Pound. While we are subject to fluctuations in foreign currency rates in connection with these arrangements, to date, these fluctuations have not been significant. Based on our expected volumes with these vendors and employees in fiscal year 2021, a movement of 10% in the exchange rates would not have a material effect on our results of operations or financial condition.</w:t>
      </w:r>
    </w:p>
    <w:p>
      <w:pPr>
        <w:spacing w:after="0" w:line="144"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96" w:lineRule="exact"/>
        <w:rPr>
          <w:sz w:val="20"/>
          <w:szCs w:val="20"/>
          <w:color w:val="auto"/>
        </w:rPr>
      </w:pPr>
    </w:p>
    <w:p>
      <w:pPr>
        <w:ind w:firstLine="449"/>
        <w:spacing w:after="0" w:line="312" w:lineRule="auto"/>
        <w:rPr>
          <w:sz w:val="20"/>
          <w:szCs w:val="20"/>
          <w:color w:val="auto"/>
        </w:rPr>
      </w:pPr>
      <w:r>
        <w:rPr>
          <w:rFonts w:ascii="Arial" w:cs="Arial" w:eastAsia="Arial" w:hAnsi="Arial"/>
          <w:sz w:val="15"/>
          <w:szCs w:val="15"/>
          <w:color w:val="auto"/>
        </w:rPr>
        <w:t>We are an “emerging growth company,” as defined in the Jumpstart Our Business Startups Act, or JOBS Act, and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last day of the fiscal year following the fifth anniversary of the completion of this offering or such earlier time that we are no longer an “emerging growth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0" w:firstLine="449"/>
        <w:spacing w:after="0" w:line="331"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our consolidated financial statements included elsewhere in this prospectus.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49"/>
        <w:spacing w:after="0" w:line="301" w:lineRule="auto"/>
        <w:rPr>
          <w:sz w:val="20"/>
          <w:szCs w:val="20"/>
          <w:color w:val="auto"/>
        </w:rPr>
      </w:pPr>
      <w:r>
        <w:rPr>
          <w:rFonts w:ascii="Arial" w:cs="Arial" w:eastAsia="Arial" w:hAnsi="Arial"/>
          <w:sz w:val="15"/>
          <w:szCs w:val="15"/>
          <w:color w:val="auto"/>
        </w:rPr>
        <w:t>We are advancing the next generation of oligonucleotide therapeutics with the goal of transforming the treatment of severe neuromuscular and neurologic diseases. Our Enhanced Delivery Oligonucleotide, or EDO, platform is founded on over a decade of research and development and leverages cell-penetrating peptide conjugates to improve the uptake and the activity of oligonucleotide therapies. Our EDO peptides are engineered to optimize tissue and cell penetration, and in preclinical studies they have demonstrated the ability to transport oligonucleotides into a broad range of target tissues, including smooth, skeletal, and cardiac muscle and the central nervous system, or CNS. Using these EDO peptides, we are generating a pipeline of oligonucleotide therapeutic candidates that target the root cause of serious diseases. We are developing PGN-EDO51, our lead product candidate, to treat individuals with Duchenne muscular dystrophy, or DMD, whose mutations are amenable to an exon 51-skipping therapeutic approach. In non-human primate, or NHP, studies, PGN-EDO51 at a dose of 30 mg/kg achieved over 70% exon 51 skipping in skeletal muscle, including diaphragm, which we believe is the highest rate of exon 51</w:t>
      </w:r>
    </w:p>
    <w:p>
      <w:pPr>
        <w:spacing w:after="0" w:line="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skipping reported by any approved therapeutic or known development candidate. We anticipate filing a Clinical Trial Application, or CTA, in to initiate a Phase 1 clinical trial of PGN-EDO51. We are also developing PGN-EDODM1 for the treatment of myotonic dystrophy type 1, or DM1, for which we</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anticipate an IND filing in , and PGN-EDO53 for the treatment of DMD patients whose mutations are amenable to an exon 53 skipping therapeutic approach, for which we anticipate reporting exon-skipping data in NHPs in . Alongside these therapeutic candidates, we have initiated research efforts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EDO therapeutics for additional neuromuscular and neurologic diseases and other therapeutic areas, including cardiac indications.</w:t>
      </w:r>
    </w:p>
    <w:p>
      <w:pPr>
        <w:spacing w:after="0" w:line="165"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advent of oligonucleotide therapeutics represented a major advance in the history of the biopharmaceutical industry. Oligonucleotide therapeutics are a genetic medicine modality that, using nucleic acids, are designed to target the root cause of many diseases through the modulation of RNA expression and processing. The development of oligonucleotide therapeutics has increased the arsenal of potent therapeutic modalities and enabled the targeting of a diverse set of diseases that have proven difficult to treat with other modalities. Oligonucleotide therapeutics have demonstrated clinical benefit and been approved for the treatment of multiple diseases. These approved drugs include antisense oligonucleotides, or ASOs, which are short, synthetic, single-stranded oligonucleotides designed to inhibit or modify expression of protein and RNA, and small interfering RNAs, or siRNAs, which are a class of double-stranded RNA designed to silence a particular mRNA.</w:t>
      </w:r>
    </w:p>
    <w:p>
      <w:pPr>
        <w:spacing w:after="0" w:line="11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However, despite the considerable potential of oligonucleotides as a therapeutic class, the challenges associated with their delivery has limited the development of these therapies in certain disease areas. On their own, oligonucleotides therapeutics are not readily distributed to heart and skeletal muscle, the key tissues affected in neuromuscular diseases, and are not efficiently taken up into these cells.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EDO Platform</w:t>
      </w:r>
    </w:p>
    <w:p>
      <w:pPr>
        <w:spacing w:after="0" w:line="9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To address this challenge, we engineered our proprietary EDO technology to optimize tissue and cell penetration, which we believe may result in enhanced therapeutic activity and improved tolerability of oligonucleotide therapies. Our platform is based on novel cell-penetrating EDO peptides that were developed through an iterative process that selected simultaneously for high uptake, biodistribution to key muscle targets, including cardiac tissue, and reduced toxicity. Our lead product candidates utilize phosphorodiamidate morpholino oligomers, or PMOs, a type of ASO chemistry that confers enhanced stability, conjugated to one of our optimized, proprietary, novel EDO peptides, and we are continuing to build and develop this platform technology as we expand into new therapeutic areas.</w:t>
      </w:r>
    </w:p>
    <w:p>
      <w:pPr>
        <w:spacing w:after="0" w:line="144"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Using this novel, proprietary platform, we are developing a broad pipeline of disease-modifying EDO peptide-conjugated oligonucleotide candidates to treat a variety of degenerative neuromuscular and neurologic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diseases. Our platform is designed to offer the following advantages compared to existing oligonucleotide approaches:</w:t>
      </w:r>
    </w:p>
    <w:p>
      <w:pPr>
        <w:spacing w:after="0" w:line="90" w:lineRule="exact"/>
        <w:rPr>
          <w:sz w:val="20"/>
          <w:szCs w:val="20"/>
          <w:color w:val="auto"/>
        </w:rPr>
      </w:pPr>
    </w:p>
    <w:p>
      <w:pPr>
        <w:ind w:left="880" w:hanging="427"/>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Enhanced delivery to skeletal muscle, including diaphragm, cardiac muscle and the CNS.</w:t>
      </w:r>
    </w:p>
    <w:p>
      <w:pPr>
        <w:spacing w:after="0" w:line="90" w:lineRule="exact"/>
        <w:rPr>
          <w:rFonts w:ascii="Arial" w:cs="Arial" w:eastAsia="Arial" w:hAnsi="Arial"/>
          <w:sz w:val="18"/>
          <w:szCs w:val="18"/>
          <w:color w:val="auto"/>
        </w:rPr>
      </w:pPr>
    </w:p>
    <w:p>
      <w:pPr>
        <w:ind w:left="880" w:right="480" w:hanging="427"/>
        <w:spacing w:after="0" w:line="268"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Improved activity, which we have observed in NHPs with the greatest exon skipping potency at tolerable target dose levels compared to any approved therapeutic or known developmental candidate.</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 enhanced balance between activity and tolerability, which is designed to afford our product candidates a wider therapeutic index.</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Robust, scalable and cost-efficient manufacturing that does not require cell-based processes.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Accelerated and efficient pipeline development of therapeutic candidates enabled by use of the same EDO peptide across all our initial programs.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We are harnessing the power of our EDO platform to generate a pipeline of oligonucleotide therapeutic candidates engineered to safely and effectively target the root cause of serious diseases. We are initially focused on addressing neuromuscular indications and are building a portfolio of therapeutic candidates to address the underlying genetic mutations found in DMD and DM1. We anticipate expanding this pipeline to include other neuromuscular targets as well as opportunities in neurologic and cardiac indications. We intend to leverage the modular, scalable nature of our EDO technology to support our rapid expansion into these new therapeutic areas. We own worldwide development and commercialization rights to all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104140</wp:posOffset>
            </wp:positionV>
            <wp:extent cx="4543425" cy="2322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4342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PGN-EDO51</w:t>
      </w:r>
    </w:p>
    <w:p>
      <w:pPr>
        <w:spacing w:after="0" w:line="90"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Our lead product candidate is PGN-EDO51, an EDO peptide-conjugated exon 51-skipping PMO, that we are developing for the treatment of DMD patients with mutations amenable to treatment with an exon 51 skipping approach. DMD is a debilitating X-linked recessive muscle-wasting disease, predominantly affecting boys. It is one of the most prevalent rare genetic diseases globally, with up to 15,000 DMD patients in the United States and approximately 25,000 DMD patients in Europe. Approximately 13% of patients with DMD have mutations that are amenable to treatment with an exon 51-skipping therapy. DMD patients typically succumb to cardiac and respiratory failure in their late teens or early twenties. There is no cure for DMD and there are no treatments that have clinically demonstrated a meaningful impact on disease progression.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62" w:lineRule="auto"/>
        <w:rPr>
          <w:sz w:val="20"/>
          <w:szCs w:val="20"/>
          <w:color w:val="auto"/>
        </w:rPr>
      </w:pPr>
      <w:r>
        <w:rPr>
          <w:rFonts w:ascii="Arial" w:cs="Arial" w:eastAsia="Arial" w:hAnsi="Arial"/>
          <w:sz w:val="16"/>
          <w:szCs w:val="16"/>
          <w:color w:val="auto"/>
        </w:rPr>
        <w:t>PGN-EDO51 is designed to splice out exon 51 of the dystrophin pre-mRNA, resulting in the restoration of the open reading frame of the dystrophin transcript and the production of a shortened, yet functional dystrophin protein. In wild-type NHP studies, at tolerable doses, we have observed the most potent exon skipping compared to any approved therapeutic or known developmental candidate across target tissues, including the heart and diaphragm. In addition, our NHP studies established greater head-to-head activity of PGN-EDO51 compared to R</w:t>
      </w:r>
      <w:r>
        <w:rPr>
          <w:rFonts w:ascii="Arial" w:cs="Arial" w:eastAsia="Arial" w:hAnsi="Arial"/>
          <w:sz w:val="20"/>
          <w:szCs w:val="20"/>
          <w:color w:val="auto"/>
          <w:vertAlign w:val="subscript"/>
        </w:rPr>
        <w:t>6</w:t>
      </w:r>
      <w:r>
        <w:rPr>
          <w:rFonts w:ascii="Arial" w:cs="Arial" w:eastAsia="Arial" w:hAnsi="Arial"/>
          <w:sz w:val="16"/>
          <w:szCs w:val="16"/>
          <w:color w:val="auto"/>
        </w:rPr>
        <w:t>G-PMO, which we believe is structurally equivalent to Sarepta’s SRP-5051, the most clinically advanced peptide-ASO conjugate. At a dose of 10 mg/kg, PGN-EDO51 exhibited approximately as much exon skipping activity as a 3-fold higher dose, i.e., 30 mg/kg, of R</w:t>
      </w:r>
      <w:r>
        <w:rPr>
          <w:rFonts w:ascii="Arial" w:cs="Arial" w:eastAsia="Arial" w:hAnsi="Arial"/>
          <w:sz w:val="20"/>
          <w:szCs w:val="20"/>
          <w:color w:val="auto"/>
          <w:vertAlign w:val="subscript"/>
        </w:rPr>
        <w:t>6</w:t>
      </w:r>
      <w:r>
        <w:rPr>
          <w:rFonts w:ascii="Arial" w:cs="Arial" w:eastAsia="Arial" w:hAnsi="Arial"/>
          <w:sz w:val="16"/>
          <w:szCs w:val="16"/>
          <w:color w:val="auto"/>
        </w:rPr>
        <w:t>G-PMO. Our preclinical work also indicated that PGN-EDO51 was generally well-tolerated at target dose levels.</w:t>
      </w:r>
    </w:p>
    <w:p>
      <w:pPr>
        <w:spacing w:after="0" w:line="4"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We anticipate filing our CTA for this product candidate in</w:t>
      </w:r>
      <w:r>
        <w:rPr>
          <w:sz w:val="20"/>
          <w:szCs w:val="20"/>
          <w:color w:val="auto"/>
        </w:rPr>
        <w:tab/>
      </w:r>
      <w:r>
        <w:rPr>
          <w:rFonts w:ascii="Arial" w:cs="Arial" w:eastAsia="Arial" w:hAnsi="Arial"/>
          <w:sz w:val="15"/>
          <w:szCs w:val="15"/>
          <w:color w:val="auto"/>
        </w:rPr>
        <w:t>to initiate a Phase 1 study of PGN-EDO51.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PGN-EDODM1</w:t>
      </w:r>
    </w:p>
    <w:p>
      <w:pPr>
        <w:spacing w:after="0" w:line="90"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 xml:space="preserve">We are developing PGN-EDODM1, an EDO peptide-conjugated PMO, for the treatment of DM1. DM1 is a monogenic, autosomal dominant, progressive disorder that primarily affects skeletal, cardiac and smooth muscles as well as the CNS, resulting in significant physical, cognitive and behavioral impairments and disability. The burden of disease is significant, and many patients have a shortened lifespan. DM1 is caused by an abnormal trinucleotide repeat expansion in a region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and is estimated to affect over 40,000 patients in the United States and over 74,000 patients in Europe. There are currently no approved therapies for the treatment of DM1.</w:t>
      </w:r>
    </w:p>
    <w:p>
      <w:pPr>
        <w:spacing w:after="0" w:line="11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PGN-EDODM1 leverages the same EDO peptide as EDO51 to deliver a PMO into muscle cells that binds to the CUG trinucleotide repeat expansion present in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mRNA, thus reducing the ability of these trinucleotide repeats to sequester MBNL1, a critical RNA processing protein. This blocking mechanism directly addresses the underlying genetic defect in DM1, and we have observed that a single dose of PGN-EDODM1 corrected the molecular and functional phenotypes presented in the HSA</w:t>
      </w:r>
      <w:r>
        <w:rPr>
          <w:rFonts w:ascii="Arial" w:cs="Arial" w:eastAsia="Arial" w:hAnsi="Arial"/>
          <w:sz w:val="10"/>
          <w:szCs w:val="10"/>
          <w:color w:val="auto"/>
        </w:rPr>
        <w:t>LR</w:t>
      </w:r>
      <w:r>
        <w:rPr>
          <w:rFonts w:ascii="Arial" w:cs="Arial" w:eastAsia="Arial" w:hAnsi="Arial"/>
          <w:sz w:val="16"/>
          <w:szCs w:val="16"/>
          <w:color w:val="auto"/>
        </w:rPr>
        <w:t xml:space="preserve"> mouse model of disease, reducing myotonia and normalizing mobility. We also observed that the molecular correction effected by PGN-EDODM1 in this preclinical mouse model exhibited a durability of effect that was in excess of six months. The ability of the EDO peptide to cross the blood-brain barrier may also enable PDG-EDODM1 to address the CNS phenotypes that are evident in DM1 patients. We anticipate submitting an</w:t>
      </w:r>
    </w:p>
    <w:p>
      <w:pPr>
        <w:spacing w:after="0" w:line="1"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IND for PGN-EDODM1 in</w:t>
      </w:r>
      <w:r>
        <w:rPr>
          <w:sz w:val="20"/>
          <w:szCs w:val="20"/>
          <w:color w:val="auto"/>
        </w:rPr>
        <w:tab/>
      </w:r>
      <w:r>
        <w:rPr>
          <w:rFonts w:ascii="Arial" w:cs="Arial" w:eastAsia="Arial" w:hAnsi="Arial"/>
          <w:sz w:val="16"/>
          <w:szCs w:val="16"/>
          <w:color w:val="auto"/>
        </w:rPr>
        <w:t>to initiate a Phase 1 study of PGN-EDODM1.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PGN-EDO53</w:t>
      </w:r>
    </w:p>
    <w:p>
      <w:pPr>
        <w:spacing w:after="0" w:line="90"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 xml:space="preserve">Our second EDO therapeutic candidate for the treatment of DMD, PGN-EDO53, is an EDO peptide-conjugated PMO designed to skip exon 53 of the dystrophin transcript. It is estimated that 8% of DMD patients have mutations that would be amenable to treatments with an exon 53 skipping approach. PGN-EDO53 will utilize the same EDO cell penetrating peptide as our exon 51-skipping product candidate, PGN-EDO51, which we believe will allow us to leverage our drug development experience in this indication to rapidly drive our exon 53-skipping product candidate to the clinic. We are currently conducting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 of candidate oligonucleotide sequences, and we anticipate that we will obtain exon skipping results from an NHP study in .</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Discovery Programs</w:t>
      </w:r>
    </w:p>
    <w:p>
      <w:pPr>
        <w:spacing w:after="0" w:line="90"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have active discovery programs focused on expanding our pipeline in DMD and other neuromuscular diseases. We are screening oligonucleotides for treatment of DMD patient populations with mutations that are amenable to exon skipping approaches other than exon 51 and exon 53. Our initial discovery work is focused on selection of oligonucleotides for exon 44 and exon 45 skipping. We anticipate nominating a candidate for our PGN-EDO44/45 program in</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In addition, our PGN-EDONMD program is screening oligonucleotides for several neuromuscular targets. We expect to nominate a candidate from</w:t>
      </w:r>
    </w:p>
    <w:p>
      <w:pPr>
        <w:spacing w:after="0" w:line="32"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this program by</w:t>
      </w:r>
      <w:r>
        <w:rPr>
          <w:sz w:val="20"/>
          <w:szCs w:val="20"/>
          <w:color w:val="auto"/>
        </w:rPr>
        <w:tab/>
      </w:r>
      <w:r>
        <w:rPr>
          <w:rFonts w:ascii="Arial" w:cs="Arial" w:eastAsia="Arial" w:hAnsi="Arial"/>
          <w:sz w:val="18"/>
          <w:szCs w:val="18"/>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459" w:right="3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the Applications and Scope of Our EDO Platform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indications with PMO therapeutics</w:t>
      </w:r>
    </w:p>
    <w:p>
      <w:pPr>
        <w:spacing w:after="0" w:line="90"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intend to leverage our deep understanding of our EDO platform and oligonucleotide therapeutics to develop additional product candidates for other indications. We believe the ability to deliver exon skipping therapeutics to muscle cells, including cardiac muscle cells, as well as the CNS, is largely independent of the exact sequence of the PMO. As such, by leveraging the preclinical data and the plug-and-play nature of our EDO platform, we believe that we are well positioned to develop additional product candidates with the potential to drive clinically-relevant therapeutic outcomes in other neuromuscular diseases as well as neurologic and cardiac diseases.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cargos</w:t>
      </w:r>
    </w:p>
    <w:p>
      <w:pPr>
        <w:spacing w:after="0" w:line="90" w:lineRule="exact"/>
        <w:rPr>
          <w:sz w:val="20"/>
          <w:szCs w:val="20"/>
          <w:color w:val="auto"/>
        </w:rPr>
      </w:pPr>
    </w:p>
    <w:p>
      <w:pPr>
        <w:ind w:right="260" w:firstLine="449"/>
        <w:spacing w:after="0" w:line="331" w:lineRule="auto"/>
        <w:rPr>
          <w:sz w:val="20"/>
          <w:szCs w:val="20"/>
          <w:color w:val="auto"/>
        </w:rPr>
      </w:pPr>
      <w:r>
        <w:rPr>
          <w:rFonts w:ascii="Arial" w:cs="Arial" w:eastAsia="Arial" w:hAnsi="Arial"/>
          <w:sz w:val="16"/>
          <w:szCs w:val="16"/>
          <w:color w:val="auto"/>
        </w:rPr>
        <w:t>We believe that our EDO technology has the potential to facilitate the delivery of multiple classes of oligonucleotide therapeutics. To date, our efforts have primarily focused on the delivery of PMOs, but we are also actively pursuing the expansion of our cargo scope to other nucleic acid species.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peptide technologies</w:t>
      </w:r>
    </w:p>
    <w:p>
      <w:pPr>
        <w:spacing w:after="0" w:line="90" w:lineRule="exact"/>
        <w:rPr>
          <w:sz w:val="20"/>
          <w:szCs w:val="20"/>
          <w:color w:val="auto"/>
        </w:rPr>
      </w:pPr>
    </w:p>
    <w:p>
      <w:pPr>
        <w:ind w:right="440" w:firstLine="449"/>
        <w:spacing w:after="0" w:line="259" w:lineRule="auto"/>
        <w:rPr>
          <w:sz w:val="20"/>
          <w:szCs w:val="20"/>
          <w:color w:val="auto"/>
        </w:rPr>
      </w:pPr>
      <w:r>
        <w:rPr>
          <w:rFonts w:ascii="Arial" w:cs="Arial" w:eastAsia="Arial" w:hAnsi="Arial"/>
          <w:sz w:val="18"/>
          <w:szCs w:val="18"/>
          <w:color w:val="auto"/>
        </w:rPr>
        <w:t>We intend to further establish our expertise and competitive position in the field of oligonucleotide delivery through the ongoing research and development of new cell penetrating peptides. We will leverage our deep expertise in this field to design new peptides that target specific tissue types and improve our ability to fine-tune peptides for optimal cellular delivery and tissue selectivity.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 and Team</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Our mission is to deliver transformative therapeutics to those in need, and we believe our innovative technology is well-positioned to effect this change for patients, families and the broader healthcare community. As a company, we value:</w:t>
      </w:r>
    </w:p>
    <w:p>
      <w:pPr>
        <w:spacing w:after="0" w:line="45" w:lineRule="exact"/>
        <w:rPr>
          <w:sz w:val="20"/>
          <w:szCs w:val="20"/>
          <w:color w:val="auto"/>
        </w:rPr>
      </w:pPr>
    </w:p>
    <w:p>
      <w:pPr>
        <w:ind w:left="880" w:hanging="427"/>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Research: </w:t>
      </w:r>
      <w:r>
        <w:rPr>
          <w:rFonts w:ascii="Arial" w:cs="Arial" w:eastAsia="Arial" w:hAnsi="Arial"/>
          <w:sz w:val="18"/>
          <w:szCs w:val="18"/>
          <w:color w:val="auto"/>
        </w:rPr>
        <w:t>We are a scientific company at heart, and we approach our work with an evidence-based mindset.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Innovation: </w:t>
      </w:r>
      <w:r>
        <w:rPr>
          <w:rFonts w:ascii="Arial" w:cs="Arial" w:eastAsia="Arial" w:hAnsi="Arial"/>
          <w:sz w:val="18"/>
          <w:szCs w:val="18"/>
          <w:color w:val="auto"/>
        </w:rPr>
        <w:t>We are always exploring new ways to learn, build and improve across all facets of our company.</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Integrity: </w:t>
      </w:r>
      <w:r>
        <w:rPr>
          <w:rFonts w:ascii="Arial" w:cs="Arial" w:eastAsia="Arial" w:hAnsi="Arial"/>
          <w:sz w:val="18"/>
          <w:szCs w:val="18"/>
          <w:color w:val="auto"/>
        </w:rPr>
        <w:t>We act ethically and honestly in both science and business.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Responsibility: </w:t>
      </w:r>
      <w:r>
        <w:rPr>
          <w:rFonts w:ascii="Arial" w:cs="Arial" w:eastAsia="Arial" w:hAnsi="Arial"/>
          <w:sz w:val="18"/>
          <w:szCs w:val="18"/>
          <w:color w:val="auto"/>
        </w:rPr>
        <w:t>As a therapeutic company, we appreciate the impact our work has on patients and their families.</w:t>
      </w:r>
    </w:p>
    <w:p>
      <w:pPr>
        <w:spacing w:after="0" w:line="17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support of our mission, we have assembled a leadership team with deep experience in research and development, clinical translation, regulatory affairs and corporate development. Our Chief Executive Officer, James McArthur, Ph.D., brings over 25 years of industry experience to the company, including roles at Imara, Cydan and Nightstar Therapeutics, with a specific focus on rare disease therapeutics. Dr McArthur is ably supported by Caroline Godfrey, Ph.D., our Senior Vice President of Discovery, who has over 15 years of research experience in DMD and exon skipping therapeutics at University College London and the University of Oxford and was our founding CEO; Niels Svenstrup, Ph.D., our Senior Vice President of Chemistry, Manufacturing and Control, who has extensive experience in the manufacturing and release of peptide drugs for late-stage clinical programs and has held roles at Ascendis Pharma, Cydan and Lundbeck, amongst others, and Jane Larkindale, D.Phil., our Vice President of Clinical Science, who—through roles at the Muscular Dystrophy Association, the Critical Path Institute and the Friedreich’s Ataxia Research Alliance—has over 15 years of experience in patient advocacy and therapeutic development for rare diseases. We have established a strong scientific advisory board, who bring a wealth of expertise from both the indication and therapeutic modality perspectives in their roles as academics, clinicians and drug development.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We were founded in 2018 with technology spun out from the University of Oxford and the Medical Research Council of United Kingdom Research and Innovation to further develop and commercialize this novel peptide delivery technology. This technology was created and refined over a decade by Michael Gait, Ph.D. and Professor Matthew Wood, M.D., Ph.D. We have exclusively licensed the patents, patent applications and know-how associated with this technology.</w:t>
      </w:r>
    </w:p>
    <w:p>
      <w:pPr>
        <w:spacing w:after="0" w:line="143" w:lineRule="exact"/>
        <w:rPr>
          <w:sz w:val="20"/>
          <w:szCs w:val="20"/>
          <w:color w:val="auto"/>
        </w:rPr>
      </w:pPr>
    </w:p>
    <w:p>
      <w:pPr>
        <w:ind w:right="200" w:firstLine="449"/>
        <w:spacing w:after="0" w:line="256" w:lineRule="auto"/>
        <w:rPr>
          <w:sz w:val="20"/>
          <w:szCs w:val="20"/>
          <w:color w:val="auto"/>
        </w:rPr>
      </w:pPr>
      <w:r>
        <w:rPr>
          <w:rFonts w:ascii="Arial" w:cs="Arial" w:eastAsia="Arial" w:hAnsi="Arial"/>
          <w:sz w:val="18"/>
          <w:szCs w:val="18"/>
          <w:color w:val="auto"/>
        </w:rPr>
        <w:t>To date, we have raised $163.7 million from a leading group of investors, including RA Capital Management, Oxford Science Enterprises, KAVRA 16 LLC, CureDuchenne Ventures, the University of Oxford, Viking Global Investors, Deerfield Management Company, Qatar Investment Authority, Adage Capital Management, Samsara Biocapital, Suvretta Capital Management, Laurion Capital Management, Tudor Investment Corporation and Gray’s Creek Capital Partners.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goal is to become a leading biopharmaceutical company focused on the development and commercialization of oligonucleotide therapies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transform the lives of patients with severe neuromuscular and neurologic diseases. We aim to accomplish this goal by implementing the following strategies:</w:t>
      </w:r>
    </w:p>
    <w:p>
      <w:pPr>
        <w:spacing w:after="0" w:line="101" w:lineRule="exact"/>
        <w:rPr>
          <w:sz w:val="20"/>
          <w:szCs w:val="20"/>
          <w:color w:val="auto"/>
        </w:rPr>
      </w:pPr>
    </w:p>
    <w:p>
      <w:pPr>
        <w:ind w:left="880" w:right="60" w:hanging="427"/>
        <w:spacing w:after="0" w:line="289" w:lineRule="auto"/>
        <w:tabs>
          <w:tab w:leader="none" w:pos="88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Advance our lead product candidate, PGN-EDO51, through clinical trials and regulatory approval</w:t>
      </w:r>
      <w:r>
        <w:rPr>
          <w:rFonts w:ascii="Arial" w:cs="Arial" w:eastAsia="Arial" w:hAnsi="Arial"/>
          <w:sz w:val="16"/>
          <w:szCs w:val="16"/>
          <w:color w:val="auto"/>
        </w:rPr>
        <w:t>. We are developing PGN-EDO51 to treat</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with DMD whose mutations are amenable to an exon 51 skipping therapeutic approach. There is no cure for DMD and there are no</w:t>
      </w:r>
    </w:p>
    <w:p>
      <w:pPr>
        <w:spacing w:after="0" w:line="1" w:lineRule="exact"/>
        <w:rPr>
          <w:sz w:val="20"/>
          <w:szCs w:val="20"/>
          <w:color w:val="auto"/>
        </w:rPr>
      </w:pPr>
    </w:p>
    <w:p>
      <w:pPr>
        <w:ind w:left="880" w:right="20"/>
        <w:spacing w:after="0" w:line="260" w:lineRule="auto"/>
        <w:rPr>
          <w:sz w:val="20"/>
          <w:szCs w:val="20"/>
          <w:color w:val="auto"/>
        </w:rPr>
      </w:pPr>
      <w:r>
        <w:rPr>
          <w:rFonts w:ascii="Arial" w:cs="Arial" w:eastAsia="Arial" w:hAnsi="Arial"/>
          <w:sz w:val="16"/>
          <w:szCs w:val="16"/>
          <w:color w:val="auto"/>
        </w:rPr>
        <w:t>treatments that have clinically demonstrated a major impact on disease progression. In wild-type NHP studies, we have observed robust levels of exon skipping and established greater head-to-head activity of our candidate compared to R</w:t>
      </w:r>
      <w:r>
        <w:rPr>
          <w:rFonts w:ascii="Arial" w:cs="Arial" w:eastAsia="Arial" w:hAnsi="Arial"/>
          <w:sz w:val="20"/>
          <w:szCs w:val="20"/>
          <w:color w:val="auto"/>
          <w:vertAlign w:val="subscript"/>
        </w:rPr>
        <w:t>6</w:t>
      </w:r>
      <w:r>
        <w:rPr>
          <w:rFonts w:ascii="Arial" w:cs="Arial" w:eastAsia="Arial" w:hAnsi="Arial"/>
          <w:sz w:val="16"/>
          <w:szCs w:val="16"/>
          <w:color w:val="auto"/>
        </w:rPr>
        <w:t>G-PMO, which we believe is structurally equivalent to Sarepta’s SRP-5051, the most clinically advanced peptide-ASO conjugate. In our preclinical studies, we also observed that PGN-EDO51 was</w:t>
      </w:r>
    </w:p>
    <w:p>
      <w:pPr>
        <w:ind w:left="880" w:right="280"/>
        <w:spacing w:after="0" w:line="260" w:lineRule="auto"/>
        <w:rPr>
          <w:sz w:val="20"/>
          <w:szCs w:val="20"/>
          <w:color w:val="auto"/>
        </w:rPr>
      </w:pPr>
      <w:r>
        <w:rPr>
          <w:rFonts w:ascii="Arial" w:cs="Arial" w:eastAsia="Arial" w:hAnsi="Arial"/>
          <w:sz w:val="18"/>
          <w:szCs w:val="18"/>
          <w:color w:val="auto"/>
        </w:rPr>
        <w:t>generally well-tolerated at target dose levels. We anticipate filing our CTA for PGN-EDO51 in to initiate a Phase 1 clinical trial of PGN-EDO51.</w:t>
      </w:r>
    </w:p>
    <w:p>
      <w:pPr>
        <w:spacing w:after="0" w:line="52" w:lineRule="exact"/>
        <w:rPr>
          <w:sz w:val="20"/>
          <w:szCs w:val="20"/>
          <w:color w:val="auto"/>
        </w:rPr>
      </w:pPr>
    </w:p>
    <w:p>
      <w:pPr>
        <w:ind w:left="880" w:hanging="427"/>
        <w:spacing w:after="0" w:line="287" w:lineRule="auto"/>
        <w:tabs>
          <w:tab w:leader="none" w:pos="88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Advance PGN-EDODM1 through clinical trials and regulatory approval</w:t>
      </w:r>
      <w:r>
        <w:rPr>
          <w:rFonts w:ascii="Arial" w:cs="Arial" w:eastAsia="Arial" w:hAnsi="Arial"/>
          <w:sz w:val="16"/>
          <w:szCs w:val="16"/>
          <w:color w:val="auto"/>
        </w:rPr>
        <w:t>. We are developing PGN-EDODM1 for the treatment of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DM1. In preclinical studies, a single dose of PGN-EDODM1 restored aberrant splicing in a mouse model of DM1, completely restored the myotonic phenotype, improved mobility and demonstrated correction of mis-splicing that was maintained for at least six months. We believe that</w:t>
      </w:r>
    </w:p>
    <w:p>
      <w:pPr>
        <w:jc w:val="both"/>
        <w:ind w:left="880" w:right="640"/>
        <w:spacing w:after="0" w:line="255" w:lineRule="auto"/>
        <w:rPr>
          <w:sz w:val="20"/>
          <w:szCs w:val="20"/>
          <w:color w:val="auto"/>
        </w:rPr>
      </w:pPr>
      <w:r>
        <w:rPr>
          <w:rFonts w:ascii="Arial" w:cs="Arial" w:eastAsia="Arial" w:hAnsi="Arial"/>
          <w:sz w:val="18"/>
          <w:szCs w:val="18"/>
          <w:color w:val="auto"/>
        </w:rPr>
        <w:t>PGN-EDODM1 has the potential to transform the treatment of DM1, and we anticipate submitting an IND for PGN-EDODM1 in . Furthermore, we believe that the successful development of PGN-EDODM1 would further validate the EDO platform and demonstrate its potential to generate therapeutic candidates in neuromuscular indications beyond DMD.</w:t>
      </w:r>
    </w:p>
    <w:p>
      <w:pPr>
        <w:spacing w:after="0" w:line="57" w:lineRule="exact"/>
        <w:rPr>
          <w:sz w:val="20"/>
          <w:szCs w:val="20"/>
          <w:color w:val="auto"/>
        </w:rPr>
      </w:pPr>
    </w:p>
    <w:p>
      <w:pPr>
        <w:ind w:left="880" w:right="80" w:hanging="427"/>
        <w:spacing w:after="0" w:line="289" w:lineRule="auto"/>
        <w:tabs>
          <w:tab w:leader="none" w:pos="88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 xml:space="preserve">Expand our pipeline of oligonucleotide therapeutic candidates for the treatment of additional DMD patient populations. </w:t>
      </w:r>
      <w:r>
        <w:rPr>
          <w:rFonts w:ascii="Arial" w:cs="Arial" w:eastAsia="Arial" w:hAnsi="Arial"/>
          <w:sz w:val="16"/>
          <w:szCs w:val="16"/>
          <w:color w:val="auto"/>
        </w:rPr>
        <w:t>We aim to expand</w:t>
      </w:r>
      <w:r>
        <w:rPr>
          <w:rFonts w:ascii="Arial" w:cs="Arial" w:eastAsia="Arial" w:hAnsi="Arial"/>
          <w:sz w:val="16"/>
          <w:szCs w:val="16"/>
          <w:b w:val="1"/>
          <w:bCs w:val="1"/>
          <w:color w:val="auto"/>
        </w:rPr>
        <w:t xml:space="preserve"> </w:t>
      </w:r>
      <w:r>
        <w:rPr>
          <w:rFonts w:ascii="Arial" w:cs="Arial" w:eastAsia="Arial" w:hAnsi="Arial"/>
          <w:sz w:val="16"/>
          <w:szCs w:val="16"/>
          <w:color w:val="auto"/>
        </w:rPr>
        <w:t>our portfolio by pursuing additional programs where our EDO technology could improve clinical efficacy relative to current therapeutic</w:t>
      </w:r>
    </w:p>
    <w:p>
      <w:pPr>
        <w:spacing w:after="0" w:line="1" w:lineRule="exact"/>
        <w:rPr>
          <w:sz w:val="20"/>
          <w:szCs w:val="20"/>
          <w:color w:val="auto"/>
        </w:rPr>
      </w:pPr>
    </w:p>
    <w:p>
      <w:pPr>
        <w:ind w:left="880" w:right="20"/>
        <w:spacing w:after="0" w:line="300" w:lineRule="auto"/>
        <w:rPr>
          <w:sz w:val="20"/>
          <w:szCs w:val="20"/>
          <w:color w:val="auto"/>
        </w:rPr>
      </w:pPr>
      <w:r>
        <w:rPr>
          <w:rFonts w:ascii="Arial" w:cs="Arial" w:eastAsia="Arial" w:hAnsi="Arial"/>
          <w:sz w:val="15"/>
          <w:szCs w:val="15"/>
          <w:color w:val="auto"/>
        </w:rPr>
        <w:t>approaches. For example, approximately one third of the mutations that cause DMD could be treated by exon-skipping therapeutics directed against Exon 44, 45, 51 and 53. We are employing the same EDO technology used in PGN-EDO51 and PGN-EDODM1 to generate our next exon-skipping therapeutic candidate, PGN-EDO53, to address individuals with DMD whose mutations are amenable to an exon 53 skipping approach.</w:t>
      </w:r>
    </w:p>
    <w:p>
      <w:pPr>
        <w:sectPr>
          <w:pgSz w:w="11900" w:h="16838" w:orient="portrait"/>
          <w:cols w:equalWidth="0" w:num="1">
            <w:col w:w="11240"/>
          </w:cols>
          <w:pgMar w:left="320" w:top="459" w:right="339" w:bottom="1440" w:gutter="0" w:footer="0" w:header="0"/>
        </w:sectPr>
      </w:pPr>
    </w:p>
    <w:p>
      <w:pPr>
        <w:spacing w:after="0" w:line="1" w:lineRule="exact"/>
        <w:rPr>
          <w:sz w:val="20"/>
          <w:szCs w:val="20"/>
          <w:color w:val="auto"/>
        </w:rPr>
      </w:pPr>
    </w:p>
    <w:p>
      <w:pPr>
        <w:ind w:left="880"/>
        <w:spacing w:after="0"/>
        <w:tabs>
          <w:tab w:leader="none" w:pos="9280" w:val="left"/>
        </w:tabs>
        <w:rPr>
          <w:sz w:val="20"/>
          <w:szCs w:val="20"/>
          <w:color w:val="auto"/>
        </w:rPr>
      </w:pPr>
      <w:r>
        <w:rPr>
          <w:rFonts w:ascii="Arial" w:cs="Arial" w:eastAsia="Arial" w:hAnsi="Arial"/>
          <w:sz w:val="18"/>
          <w:szCs w:val="18"/>
          <w:color w:val="auto"/>
        </w:rPr>
        <w:t>We anticipate that we will obtain exon skipping results for PGN-EDO53 from a NHP study in and file a CTA in</w:t>
      </w:r>
      <w:r>
        <w:rPr>
          <w:sz w:val="20"/>
          <w:szCs w:val="20"/>
          <w:color w:val="auto"/>
        </w:rPr>
        <w:tab/>
      </w:r>
      <w:r>
        <w:rPr>
          <w:rFonts w:ascii="Arial" w:cs="Arial" w:eastAsia="Arial" w:hAnsi="Arial"/>
          <w:sz w:val="16"/>
          <w:szCs w:val="16"/>
          <w:color w:val="auto"/>
        </w:rPr>
        <w:t>. In addition, we are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screening oligonucleotides for the treatment of other DMD patient populations, with initial discovery work focused on selection of</w:t>
      </w:r>
    </w:p>
    <w:p>
      <w:pPr>
        <w:spacing w:after="0" w:line="32" w:lineRule="exact"/>
        <w:rPr>
          <w:sz w:val="20"/>
          <w:szCs w:val="20"/>
          <w:color w:val="auto"/>
        </w:rPr>
      </w:pPr>
    </w:p>
    <w:p>
      <w:pPr>
        <w:ind w:left="880"/>
        <w:spacing w:after="0"/>
        <w:tabs>
          <w:tab w:leader="none" w:pos="10280" w:val="left"/>
        </w:tabs>
        <w:rPr>
          <w:sz w:val="20"/>
          <w:szCs w:val="20"/>
          <w:color w:val="auto"/>
        </w:rPr>
      </w:pPr>
      <w:r>
        <w:rPr>
          <w:rFonts w:ascii="Arial" w:cs="Arial" w:eastAsia="Arial" w:hAnsi="Arial"/>
          <w:sz w:val="16"/>
          <w:szCs w:val="16"/>
          <w:color w:val="auto"/>
        </w:rPr>
        <w:t>oligonucleotides for exon 44 and exon 45 skipping. We anticipate nominating a candidate for our PGN-EDO44/45 program in</w:t>
      </w:r>
      <w:r>
        <w:rPr>
          <w:sz w:val="20"/>
          <w:szCs w:val="20"/>
          <w:color w:val="auto"/>
        </w:rPr>
        <w:tab/>
      </w:r>
      <w:r>
        <w:rPr>
          <w:rFonts w:ascii="Arial" w:cs="Arial" w:eastAsia="Arial" w:hAnsi="Arial"/>
          <w:sz w:val="14"/>
          <w:szCs w:val="14"/>
          <w:color w:val="auto"/>
        </w:rPr>
        <w:t>.</w:t>
      </w:r>
    </w:p>
    <w:p>
      <w:pPr>
        <w:sectPr>
          <w:pgSz w:w="11900" w:h="16838" w:orient="portrait"/>
          <w:cols w:equalWidth="0" w:num="1">
            <w:col w:w="11240"/>
          </w:cols>
          <w:pgMar w:left="320" w:top="459" w:right="339" w:bottom="1440" w:gutter="0" w:footer="0" w:header="0"/>
          <w:type w:val="continuous"/>
        </w:sectPr>
      </w:pPr>
    </w:p>
    <w:p>
      <w:pPr>
        <w:spacing w:after="0" w:line="101" w:lineRule="exact"/>
        <w:rPr>
          <w:sz w:val="20"/>
          <w:szCs w:val="20"/>
          <w:color w:val="auto"/>
        </w:rPr>
      </w:pPr>
    </w:p>
    <w:p>
      <w:pPr>
        <w:jc w:val="both"/>
        <w:ind w:left="880" w:right="160" w:hanging="427"/>
        <w:spacing w:after="0" w:line="301" w:lineRule="auto"/>
        <w:tabs>
          <w:tab w:leader="none" w:pos="88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full potential of our EDO technology to expand into other neuromuscular, neurological and cardiac disease areas. </w:t>
      </w:r>
      <w:r>
        <w:rPr>
          <w:rFonts w:ascii="Arial" w:cs="Arial" w:eastAsia="Arial" w:hAnsi="Arial"/>
          <w:sz w:val="16"/>
          <w:szCs w:val="16"/>
          <w:color w:val="auto"/>
        </w:rPr>
        <w:t>Our EDO</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has demonstrated the potential to efficiently deliver nucleic acid payloads such as ASOs to muscle cells, including in cardiac muscle, and into key regions of the brain in NHP. We are looking to explore disease-modifying peptide-conjugated oligonucleotide candidates to develop for the potential treatment of a variety of other neuromuscular and neurological and cardiac indications.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00" w:hanging="427"/>
        <w:spacing w:after="0" w:line="291" w:lineRule="auto"/>
        <w:tabs>
          <w:tab w:leader="none" w:pos="88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Utilize the modular nature of our EDO platform to evaluate new cargos and peptide technologies</w:t>
      </w:r>
      <w:r>
        <w:rPr>
          <w:rFonts w:ascii="Arial" w:cs="Arial" w:eastAsia="Arial" w:hAnsi="Arial"/>
          <w:sz w:val="16"/>
          <w:szCs w:val="16"/>
          <w:color w:val="auto"/>
        </w:rPr>
        <w:t>. We continue to optimize our EDO</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to increase our ability to drive the biodistribution of our conjugates to desired target tissues in the body. For example, we have undertaken a program to further increase delivery to the CNS. To accomplish this, we have built and continue to build out our peptide chemistry and biology groups to explore the structure-activity relationship of our existing EDO peptides and to develop new peptides. These next generation peptides may lead to an expansion of target diseases for which the company may develop disease modifying therapeutic candidates. Furthermore, we believe that our EDO technology has the potential to facilitate the delivery of multiple classes of oligonucleotide therapeutics. We will also assess the potential of using our technology to deliver nucleic acid payloads other than oligonucleotides to cells.</w:t>
      </w:r>
    </w:p>
    <w:p>
      <w:pPr>
        <w:spacing w:after="0" w:line="31" w:lineRule="exact"/>
        <w:rPr>
          <w:rFonts w:ascii="Arial" w:cs="Arial" w:eastAsia="Arial" w:hAnsi="Arial"/>
          <w:sz w:val="16"/>
          <w:szCs w:val="16"/>
          <w:color w:val="auto"/>
        </w:rPr>
      </w:pPr>
    </w:p>
    <w:p>
      <w:pPr>
        <w:ind w:left="880" w:hanging="427"/>
        <w:spacing w:after="0" w:line="255"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Maximize the value of our pipeline and our EDO platform by selectively exploring strategic collaborations</w:t>
      </w:r>
      <w:r>
        <w:rPr>
          <w:rFonts w:ascii="Arial" w:cs="Arial" w:eastAsia="Arial" w:hAnsi="Arial"/>
          <w:sz w:val="18"/>
          <w:szCs w:val="18"/>
          <w:color w:val="auto"/>
        </w:rPr>
        <w:t>. We have a disciplined strategy to</w:t>
      </w:r>
      <w:r>
        <w:rPr>
          <w:rFonts w:ascii="Arial" w:cs="Arial" w:eastAsia="Arial" w:hAnsi="Arial"/>
          <w:sz w:val="18"/>
          <w:szCs w:val="18"/>
          <w:b w:val="1"/>
          <w:bCs w:val="1"/>
          <w:color w:val="auto"/>
        </w:rPr>
        <w:t xml:space="preserve"> </w:t>
      </w:r>
      <w:r>
        <w:rPr>
          <w:rFonts w:ascii="Arial" w:cs="Arial" w:eastAsia="Arial" w:hAnsi="Arial"/>
          <w:sz w:val="18"/>
          <w:szCs w:val="18"/>
          <w:color w:val="auto"/>
        </w:rPr>
        <w:t>maximize the value of our pipeline and currently have worldwide development and commercial rights to all of our product candidates. Given the potential of our EDO platform, we may opportunistically enter into strategic collaborations around certain geographies, targets or programs. We may seek strategic collaborations where we believe the resources and expertise of a third-party pharmaceutical or biotechnology company could be beneficial to the development or commercialization of our product candidates, advance our programs to maximize their market potential or expand our platform capabilities.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EDO Platform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right="20" w:firstLine="449"/>
        <w:spacing w:after="0" w:line="303" w:lineRule="auto"/>
        <w:rPr>
          <w:sz w:val="20"/>
          <w:szCs w:val="20"/>
          <w:color w:val="auto"/>
        </w:rPr>
      </w:pPr>
      <w:r>
        <w:rPr>
          <w:rFonts w:ascii="Arial" w:cs="Arial" w:eastAsia="Arial" w:hAnsi="Arial"/>
          <w:sz w:val="15"/>
          <w:szCs w:val="15"/>
          <w:color w:val="auto"/>
        </w:rPr>
        <w:t>Our proprietary EDO platform is based on a novel, unique class of cell-penetrating peptides, or CPPs, designed to meaningfully enhance the delivery and cellular and nuclear uptake of oligonucleotide therapeutics. Our technology is founded on over a decade of research and development focused on improving the therapeutic utility of CPPs, resulting in a library of EDO peptides that mitigate the challenges and toxicities observed with earlier cell-penetrating peptides.</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Using these EDO peptides, we are generating a pipeline of oligonucleotide therapeutic candidates that are engineered to safely and effectively target the root cause of serious neuromuscular diseases. Product candidates enabled by our EDO technology have demonstrated robust exon-skipping activity and tolerability in NHP models. Furthermore, we have demonstrated in preclinical settings that our product candidates leveraging our EDO delivery platform exhibited superior skeletal and cardiac muscle penetrance compared to published and/or head-to-head data of other peptide conjugate approaches, thus allowing critical disease phenotypes to be addressed in diseases like DMD and DM1. Our EDO peptides also enable delivery of oligonucleotides across the blood-brain barrier, a characteristic which could support the future development of EDO therapeutics for neurologic indications.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Therapeutic Potential of Oligonucleotides</w:t>
      </w:r>
    </w:p>
    <w:p>
      <w:pPr>
        <w:spacing w:after="0" w:line="90" w:lineRule="exact"/>
        <w:rPr>
          <w:sz w:val="20"/>
          <w:szCs w:val="20"/>
          <w:color w:val="auto"/>
        </w:rPr>
      </w:pPr>
    </w:p>
    <w:p>
      <w:pPr>
        <w:ind w:right="100" w:firstLine="449"/>
        <w:spacing w:after="0" w:line="288" w:lineRule="auto"/>
        <w:rPr>
          <w:sz w:val="20"/>
          <w:szCs w:val="20"/>
          <w:color w:val="auto"/>
        </w:rPr>
      </w:pPr>
      <w:r>
        <w:rPr>
          <w:rFonts w:ascii="Arial" w:cs="Arial" w:eastAsia="Arial" w:hAnsi="Arial"/>
          <w:sz w:val="16"/>
          <w:szCs w:val="16"/>
          <w:color w:val="auto"/>
        </w:rPr>
        <w:t>The central dogma of biology—the transcription of DNA into RNA, and the subsequent translation of RNA into proteins—describes the flow of genetic information within the cell. DNA plays a critical, fundamental role in all biological processes, and while there exists considerable variation in the genetic code across the human population, certain alterations, or mutations, in an individual’s DNA sequence can lead to deleterious outcomes and disease pathologies. A genetic disease can be caused by a mutation in a single gene, known as a monogenic disorder, or by mutations in multiple genes, known as a multifactorial inheritance disorder. The term ‘genetic medicine’ encompasses disease-modifying therapeutic agents that are designed to alter and correct genetic mutations at the DNA or RNA level. These therapeutic agents can be divided into four categories – viral vector gene therapies, DNA/RNA editing approaches, small molecules and oligonucleotide therapeutics. Significant progress has been made in the field of genetic medicine over the last decade, and a number of genetic medicines have been approved or are in clinical development.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firstLine="449"/>
        <w:spacing w:after="0" w:line="323" w:lineRule="auto"/>
        <w:rPr>
          <w:sz w:val="20"/>
          <w:szCs w:val="20"/>
          <w:color w:val="auto"/>
        </w:rPr>
      </w:pPr>
      <w:r>
        <w:rPr>
          <w:rFonts w:ascii="Arial" w:cs="Arial" w:eastAsia="Arial" w:hAnsi="Arial"/>
          <w:sz w:val="15"/>
          <w:szCs w:val="15"/>
          <w:color w:val="auto"/>
        </w:rPr>
        <w:t>Oligonucleotide therapeutics are a genetic medicine modality that, using nucleic acids, are designed to target the root cause of many diseases through the modulation of RNA expression and processing. The mechanisms of action of these medicines include interference with gene expression, degradation of toxic RNA species, alteration of gene translation, interference with interactions with other nucleic acids or proteins, endogenous human adenosine deaminase acting on RNA, or ADAR, site-directed RNA editing, and modulation of the splicing of genes, and each of these approaches can lead to profound biological effects.</w:t>
      </w:r>
    </w:p>
    <w:p>
      <w:pPr>
        <w:spacing w:after="0" w:line="97"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The advent of oligonucleotide therapeutics represented a major advance in the history of the biopharmaceutical industry. Oligonucleotide therapeutics consist of strings of nucleotides, nucleic acid building blocks, that mimic the structures of active nucleic acids in the body and reproduce or expand upon the typical activities of these nucleic acids. The development of oligonucleotide therapeutics has increased the arsenal of potential therapeutic modalities and has enabled the targeting of a diverse set of diseases that have proven difficult to treat through other approaches. These therapeutic candidates are built around the sequences of their target RNA/DNA molecules, which offers them a high degree of specificity and the ability to target pathological molecules and processes that cannot easily be addressed by conventional drugs. Oligonucleotide therapeutics have demonstrated clinical benefit and been approved for the treatment of multiple diseases, such as spinal muscular atrophy, familial hypercholesterolemia and hereditary transthyretin-mediated amyloidosis. These approved drugs span two classes—ASOs, which are short, synthetic, single-stranded oligonucleotides that are designed to inhibit or modify expression of protein and RNA and small interfering RNAs, or siRNAs, which are a class of double-stranded RNA designed to silence a particular mRNA. ASOs and siRNAs both bind target mRNAs, or pre-mRNAs, via complementary Watson-Crick base pairing, but differ in their composition and modes of action. Across approved oligonucleotide therapeutics, in 2020, approximately $3.2 billion in sales were generated.</w:t>
      </w:r>
    </w:p>
    <w:p>
      <w:pPr>
        <w:spacing w:after="0" w:line="12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Therapeutic oligonucleotides are typically synthetic molecules that may contain modified nucleotide bases, sugars and phosphate linkages designed to overcome the historical limitations of unmodified oligonucleotides including instability, a poor pharmacological profile and immunogenicity. Many approved oligonucleotides incorporate a modified oligonucleotide backbone in which the phosphate and ribose sugars are replaced by phosphorodiamidate morpholino groups. These PMOs are resistant to multiple hydrolases in serum, while their uncharged nature ensures that they do not interact strongly with proteins in a nonspecific way. PMOs have shown promising results in early-stage preclinical studies and have reached the clinic in a number of indications, including DMD. Sarepta’s marketed drug Exondys51</w:t>
      </w:r>
      <w:r>
        <w:rPr>
          <w:rFonts w:ascii="Arial" w:cs="Arial" w:eastAsia="Arial" w:hAnsi="Arial"/>
          <w:sz w:val="10"/>
          <w:szCs w:val="10"/>
          <w:color w:val="auto"/>
        </w:rPr>
        <w:t>®</w:t>
      </w:r>
      <w:r>
        <w:rPr>
          <w:rFonts w:ascii="Arial" w:cs="Arial" w:eastAsia="Arial" w:hAnsi="Arial"/>
          <w:sz w:val="16"/>
          <w:szCs w:val="16"/>
          <w:color w:val="auto"/>
        </w:rPr>
        <w:t xml:space="preserve"> (eteplirsen) is a PMO that was approved in 2016 but has left much room for improvement given its relatively low tissue and cell penetration and minimal induction of dystrophin production. Despite these challenges, Exondys51</w:t>
      </w:r>
      <w:r>
        <w:rPr>
          <w:rFonts w:ascii="Arial" w:cs="Arial" w:eastAsia="Arial" w:hAnsi="Arial"/>
          <w:sz w:val="10"/>
          <w:szCs w:val="10"/>
          <w:color w:val="auto"/>
        </w:rPr>
        <w:t>®</w:t>
      </w:r>
      <w:r>
        <w:rPr>
          <w:rFonts w:ascii="Arial" w:cs="Arial" w:eastAsia="Arial" w:hAnsi="Arial"/>
          <w:sz w:val="16"/>
          <w:szCs w:val="16"/>
          <w:color w:val="auto"/>
        </w:rPr>
        <w:t xml:space="preserve"> generated approximately $415 million in global sales in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Challenge of Oligonucleotide Delivery</w:t>
      </w:r>
    </w:p>
    <w:p>
      <w:pPr>
        <w:spacing w:after="0" w:line="90"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In order for oligonucleotide therapeutics to exert their intended effect, they must first gain access to the intracellular space where RNA processing and translation occurs. Historically, the delivery of oligonucleotides to the interior of the cell proved challenging due to their high molecular weight and the lack of a specific mechanism to facilitate their transport across the cell membrane and into the cytoplasm and nucleus. Several methods have been developed to increase the cellular uptake of oligonucleotides, the most clinically advanced of which is the covalent attachment of cell-penetrating peptides, or CPPs. CPPs are designed to facilitate the transport of oligonucleotides across the plasma membrane, thus allowing these cargo species to reach their intracellular site of action. We believe these capabilities are critical in enabling oligonucleotides to exert their intended therapeutic effect within the cell. Early research into CPPs showed that simple peptides consisting primarily of poly-arginine residues could increase the cellular uptake of oligonucleotides and increase their efficacy in modulating RNA splicing. However, a considerable number of these early CPPs were found to be highly toxic in animal models, and in many instances, there existed a direct correlation between toxicity and efficacy, which limited the clinical translation and development of these first-generation delivery vectors.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A Solution for the Oligonucleotide Delivery Challenge</w:t>
      </w:r>
    </w:p>
    <w:p>
      <w:pPr>
        <w:spacing w:after="0" w:line="9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engineered our proprietary EDO technology to optimize tissue and cell penetration, which we believe may result in enhanced therapeutic activity and improved tolerability of oligonucleotide therapeutics. Our platform is based on novel cell-penetrating peptide technology, with these delivery vectors possessing four key structural characteristics:</w:t>
      </w:r>
    </w:p>
    <w:p>
      <w:pPr>
        <w:spacing w:after="0" w:line="59" w:lineRule="exact"/>
        <w:rPr>
          <w:sz w:val="20"/>
          <w:szCs w:val="20"/>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Two positively charged, arginine-rich regions, one at the N-terminus and the other at the C-terminus;</w:t>
      </w:r>
    </w:p>
    <w:p>
      <w:pPr>
        <w:spacing w:after="0" w:line="90" w:lineRule="exact"/>
        <w:rPr>
          <w:rFonts w:ascii="Arial" w:cs="Arial" w:eastAsia="Arial" w:hAnsi="Arial"/>
          <w:sz w:val="18"/>
          <w:szCs w:val="18"/>
          <w:color w:val="auto"/>
        </w:rPr>
      </w:pPr>
    </w:p>
    <w:p>
      <w:pPr>
        <w:ind w:left="880" w:right="620" w:hanging="427"/>
        <w:spacing w:after="0" w:line="268"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interspersion of a specifically selected non-natural amino acid within the arginine-rich regions – these residues provide stability in the physiological environment, and confer other beneficial properties;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central core rich in hydrophobic residues that separates the arginine-rich regions and plays a critical role in tissue and cell uptake;</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proprietary linker that plays a key role in modulating the therapeutic index of the resulting EDO conjugate.</w:t>
      </w:r>
    </w:p>
    <w:p>
      <w:pPr>
        <w:spacing w:after="0" w:line="171"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Our EDO peptides were developed through an iterative optimization process that selected simultaneously for high uptake; biodistribution to key muscle targets, including cardiac tissue; and reduced toxicity. Our lead product candidates utilize PMOs conjugated to one of our optimized, proprietary, novel EDO peptides, and we are continuing to build and develop this platform technology as we expand into new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149860</wp:posOffset>
            </wp:positionV>
            <wp:extent cx="4011930" cy="17741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1193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optimized EDOs for properties that we believe are essential for therapeutics.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Our Approach</w:t>
      </w:r>
    </w:p>
    <w:p>
      <w:pPr>
        <w:spacing w:after="0" w:line="9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Using our novel EDO platform, we are developing a broad pipeline of disease-modifying peptide-conjugated oligonucleotide candidates to treat a variety of degenerative neuromuscular diseases. We believe that our therapeutic candidates may offer the following advantages with the goal of enabling the safe and efficient delivery of oligonucleotide cargos:</w:t>
      </w:r>
    </w:p>
    <w:p>
      <w:pPr>
        <w:spacing w:after="0" w:line="53" w:lineRule="exact"/>
        <w:rPr>
          <w:sz w:val="20"/>
          <w:szCs w:val="20"/>
          <w:color w:val="auto"/>
        </w:rPr>
      </w:pPr>
    </w:p>
    <w:p>
      <w:pPr>
        <w:ind w:left="880" w:right="60" w:hanging="427"/>
        <w:spacing w:after="0" w:line="293" w:lineRule="auto"/>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Enhanced delivery to skeletal muscle, including diaphragm, cardiac muscle and the CNS: </w:t>
      </w:r>
      <w:r>
        <w:rPr>
          <w:rFonts w:ascii="Arial" w:cs="Arial" w:eastAsia="Arial" w:hAnsi="Arial"/>
          <w:sz w:val="16"/>
          <w:szCs w:val="16"/>
          <w:color w:val="auto"/>
        </w:rPr>
        <w:t>We have shown in preclinical studies that our</w:t>
      </w:r>
      <w:r>
        <w:rPr>
          <w:rFonts w:ascii="Arial" w:cs="Arial" w:eastAsia="Arial" w:hAnsi="Arial"/>
          <w:sz w:val="16"/>
          <w:szCs w:val="16"/>
          <w:b w:val="1"/>
          <w:bCs w:val="1"/>
          <w:color w:val="auto"/>
        </w:rPr>
        <w:t xml:space="preserve"> </w:t>
      </w:r>
      <w:r>
        <w:rPr>
          <w:rFonts w:ascii="Arial" w:cs="Arial" w:eastAsia="Arial" w:hAnsi="Arial"/>
          <w:sz w:val="16"/>
          <w:szCs w:val="16"/>
          <w:color w:val="auto"/>
        </w:rPr>
        <w:t>peptides can deliver cargo oligonucleotide therapeutics to key neuromuscular tissues, allowing us to address multiple disease pathologies in multi-systemic indications such as DMD and DM1. Furthermore, our EDO peptides exhibited the ability to facilitate the robust delivery of cargo oligonucleotides to the cell nucleus. This differentiating feature of our EDO platform has been observed in mice and NHPs across multiple tissue types, including those critical to neuromuscular indications – skeletal, smooth and cardiac muscle. The ability of our EDO peptide to deliver oligonucleotides to the CNS could potentially address neurological phenotypes in these diseases as well.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459" w:right="3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40" w:hanging="427"/>
        <w:spacing w:after="0" w:line="296" w:lineRule="auto"/>
        <w:tabs>
          <w:tab w:leader="none" w:pos="88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Improved activity, which we have demonstrated in NHPs, with the most potent exon 51 skipping at tolerable doses observed compared to any approved therapeutic or known developmental candidate: </w:t>
      </w:r>
      <w:r>
        <w:rPr>
          <w:rFonts w:ascii="Arial" w:cs="Arial" w:eastAsia="Arial" w:hAnsi="Arial"/>
          <w:sz w:val="16"/>
          <w:szCs w:val="16"/>
          <w:color w:val="auto"/>
        </w:rPr>
        <w:t>Our EDO platform exhibited consistently robust activity and acceptable</w:t>
      </w:r>
      <w:r>
        <w:rPr>
          <w:rFonts w:ascii="Arial" w:cs="Arial" w:eastAsia="Arial" w:hAnsi="Arial"/>
          <w:sz w:val="16"/>
          <w:szCs w:val="16"/>
          <w:b w:val="1"/>
          <w:bCs w:val="1"/>
          <w:color w:val="auto"/>
        </w:rPr>
        <w:t xml:space="preserve"> </w:t>
      </w:r>
      <w:r>
        <w:rPr>
          <w:rFonts w:ascii="Arial" w:cs="Arial" w:eastAsia="Arial" w:hAnsi="Arial"/>
          <w:sz w:val="16"/>
          <w:szCs w:val="16"/>
          <w:color w:val="auto"/>
        </w:rPr>
        <w:t>tolerability in preclinical testing of NHPs, utilizing both single and repeat dosing regimens. For example, in NHP studies, PGN-EDO51 at a dose of 30 mg/kg achieved over 70% exon 51 skipping in skeletal muscle, including diaphragm, which we believe is the highest rate of exon 51 skipping reported by any approved therapeutic or known development candidate.</w:t>
      </w:r>
    </w:p>
    <w:p>
      <w:pPr>
        <w:spacing w:after="0" w:line="26" w:lineRule="exact"/>
        <w:rPr>
          <w:rFonts w:ascii="Arial" w:cs="Arial" w:eastAsia="Arial" w:hAnsi="Arial"/>
          <w:sz w:val="16"/>
          <w:szCs w:val="16"/>
          <w:color w:val="auto"/>
        </w:rPr>
      </w:pPr>
    </w:p>
    <w:p>
      <w:pPr>
        <w:ind w:left="880" w:right="60" w:hanging="427"/>
        <w:spacing w:after="0" w:line="258"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An enhanced balance between activity and tolerability, which is designed to afford our platform a wider therapeutic index: </w:t>
      </w:r>
      <w:r>
        <w:rPr>
          <w:rFonts w:ascii="Arial" w:cs="Arial" w:eastAsia="Arial" w:hAnsi="Arial"/>
          <w:sz w:val="18"/>
          <w:szCs w:val="18"/>
          <w:color w:val="auto"/>
        </w:rPr>
        <w:t>Our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peptides have been specifically engineered to achieve a wide therapeutic index, with robust activity and an improved tolerability profile demonstrated in NHPs when compared to previous CCPs. This characteristic is a clear step-change over the narrow therapeutic index observed for previous generations of cell-penetrating peptides.</w:t>
      </w:r>
    </w:p>
    <w:p>
      <w:pPr>
        <w:spacing w:after="0" w:line="54" w:lineRule="exact"/>
        <w:rPr>
          <w:rFonts w:ascii="Arial" w:cs="Arial" w:eastAsia="Arial" w:hAnsi="Arial"/>
          <w:sz w:val="18"/>
          <w:szCs w:val="18"/>
          <w:color w:val="auto"/>
        </w:rPr>
      </w:pPr>
    </w:p>
    <w:p>
      <w:pPr>
        <w:jc w:val="both"/>
        <w:ind w:left="880" w:right="120" w:hanging="427"/>
        <w:spacing w:after="0" w:line="338" w:lineRule="auto"/>
        <w:tabs>
          <w:tab w:leader="none" w:pos="880" w:val="left"/>
        </w:tabs>
        <w:numPr>
          <w:ilvl w:val="0"/>
          <w:numId w:val="89"/>
        </w:numPr>
        <w:rPr>
          <w:rFonts w:ascii="Arial" w:cs="Arial" w:eastAsia="Arial" w:hAnsi="Arial"/>
          <w:sz w:val="15"/>
          <w:szCs w:val="15"/>
          <w:color w:val="auto"/>
        </w:rPr>
      </w:pPr>
      <w:r>
        <w:rPr>
          <w:rFonts w:ascii="Arial" w:cs="Arial" w:eastAsia="Arial" w:hAnsi="Arial"/>
          <w:sz w:val="15"/>
          <w:szCs w:val="15"/>
          <w:b w:val="1"/>
          <w:bCs w:val="1"/>
          <w:color w:val="auto"/>
        </w:rPr>
        <w:t xml:space="preserve">Robust, scalable and cost-efficient manufacturing that does not require cell-based processes: </w:t>
      </w:r>
      <w:r>
        <w:rPr>
          <w:rFonts w:ascii="Arial" w:cs="Arial" w:eastAsia="Arial" w:hAnsi="Arial"/>
          <w:sz w:val="15"/>
          <w:szCs w:val="15"/>
          <w:color w:val="auto"/>
        </w:rPr>
        <w:t>We have developed a modular manufacturing</w:t>
      </w:r>
      <w:r>
        <w:rPr>
          <w:rFonts w:ascii="Arial" w:cs="Arial" w:eastAsia="Arial" w:hAnsi="Arial"/>
          <w:sz w:val="15"/>
          <w:szCs w:val="15"/>
          <w:b w:val="1"/>
          <w:bCs w:val="1"/>
          <w:color w:val="auto"/>
        </w:rPr>
        <w:t xml:space="preserve"> </w:t>
      </w:r>
      <w:r>
        <w:rPr>
          <w:rFonts w:ascii="Arial" w:cs="Arial" w:eastAsia="Arial" w:hAnsi="Arial"/>
          <w:sz w:val="15"/>
          <w:szCs w:val="15"/>
          <w:color w:val="auto"/>
        </w:rPr>
        <w:t>process that is highly scalable, easily characterizable, and relies on readily-available building blocks. This process is fully synthetic in nature and does not rely on microbial fermentation, thus substantially reducing the risk of introducing microbial DNA or protein into our product candidates.</w:t>
      </w:r>
    </w:p>
    <w:p>
      <w:pPr>
        <w:ind w:left="880" w:hanging="427"/>
        <w:spacing w:after="0" w:line="301" w:lineRule="auto"/>
        <w:tabs>
          <w:tab w:leader="none" w:pos="88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Accelerated and efficient development of pipeline therapeutic candidates enabled by use of a single EDO peptide across all our initial programs: </w:t>
      </w:r>
      <w:r>
        <w:rPr>
          <w:rFonts w:ascii="Arial" w:cs="Arial" w:eastAsia="Arial" w:hAnsi="Arial"/>
          <w:sz w:val="16"/>
          <w:szCs w:val="16"/>
          <w:color w:val="auto"/>
        </w:rPr>
        <w:t>We currently utilize the same EDO delivery peptide across all our programs, and we envisage that many of our future pipeline</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will also leverage our extensive experience with this CPP. We intend to apply our knowledge and learnings with the aim of efficiently pursuing our future programs and taking advantage of economies of scale in manufacturing processes.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Foundation of Our EDO Platform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platform built on intelligent design principles and a decade of science</w:t>
      </w:r>
    </w:p>
    <w:p>
      <w:pPr>
        <w:spacing w:after="0" w:line="90"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Our EDO peptide platform is the result of over a decade of research conducted in the academic laboratories of our founders Michael Gait, Ph.D. at the Medical Research Council Laboratory of Molecular Biology in Cambridge, UK, and Professor Matthew Wood, MD, Ph.D. at the University of Oxford. This pioneering work brought significant advances in CPP technology, moving the field beyond the heavy reliance on arginine residues to drive cellular uptake of oligonucleotide cargos. Together, Gait and Wood developed a new generation of CPPs focused on oligonucleotide delivery and optimized for both cell penetration and improved tolerability in animal models.</w:t>
      </w:r>
    </w:p>
    <w:p>
      <w:pPr>
        <w:spacing w:after="0" w:line="147"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 xml:space="preserve">The first generation of Gait and Wood cell-penetrating peptides were termed the ‘Pip’ series. As part of the ongoing collaboration between these two academic groups, a range of Pip-PMO conjugates were screened for their activity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in the well-established </w:t>
      </w:r>
      <w:r>
        <w:rPr>
          <w:rFonts w:ascii="Arial" w:cs="Arial" w:eastAsia="Arial" w:hAnsi="Arial"/>
          <w:sz w:val="16"/>
          <w:szCs w:val="16"/>
          <w:i w:val="1"/>
          <w:iCs w:val="1"/>
          <w:color w:val="auto"/>
        </w:rPr>
        <w:t>mdx</w:t>
      </w:r>
      <w:r>
        <w:rPr>
          <w:rFonts w:ascii="Arial" w:cs="Arial" w:eastAsia="Arial" w:hAnsi="Arial"/>
          <w:sz w:val="16"/>
          <w:szCs w:val="16"/>
          <w:color w:val="auto"/>
        </w:rPr>
        <w:t xml:space="preserve"> mouse model of Duchenne muscular dystrophy. While the Pips exhibited robust activity in preclinical models, they were ultimately determined to be non-viable due to their considerable renal toxicity. However, this early work did provide considerable insight into the structure-activity relationship of this class of molecules.</w:t>
      </w:r>
    </w:p>
    <w:p>
      <w:pPr>
        <w:spacing w:after="0" w:line="112" w:lineRule="exact"/>
        <w:rPr>
          <w:sz w:val="20"/>
          <w:szCs w:val="20"/>
          <w:color w:val="auto"/>
        </w:rPr>
      </w:pPr>
    </w:p>
    <w:p>
      <w:pPr>
        <w:ind w:right="80" w:firstLine="449"/>
        <w:spacing w:after="0" w:line="303" w:lineRule="auto"/>
        <w:rPr>
          <w:sz w:val="20"/>
          <w:szCs w:val="20"/>
          <w:color w:val="auto"/>
        </w:rPr>
      </w:pPr>
      <w:r>
        <w:rPr>
          <w:rFonts w:ascii="Arial" w:cs="Arial" w:eastAsia="Arial" w:hAnsi="Arial"/>
          <w:sz w:val="15"/>
          <w:szCs w:val="15"/>
          <w:color w:val="auto"/>
        </w:rPr>
        <w:t>The poor tolerability profile of the Pips and other traditional cell-penetrating peptides established a clear need for a step-change in this field. Through an intelligent design process, multiple families of ‘DPEP’ peptides were created to address the limitations associated with previous generations of Pip CPP technology. These novel, unique peptides have overcome the tolerability issues of their predecessors and yet retain the considerable activity of the Pip peptides</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 a profile that we believe renders the DPEPs well-positioned for therapeutic development. The DPEP peptides underpin our EDO platform, and it is from this portfolio that we have selected and validated the EDO peptide that drives the potential of our clinical leads.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205740</wp:posOffset>
            </wp:positionV>
            <wp:extent cx="5048885" cy="1697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4888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EDO technology was developed over more than a decade of research into CPPs.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with Precursor Technologies</w:t>
      </w:r>
    </w:p>
    <w:p>
      <w:pPr>
        <w:spacing w:after="0" w:line="90" w:lineRule="exact"/>
        <w:rPr>
          <w:sz w:val="20"/>
          <w:szCs w:val="20"/>
          <w:color w:val="auto"/>
        </w:rPr>
      </w:pPr>
    </w:p>
    <w:p>
      <w:pPr>
        <w:ind w:right="100" w:firstLine="449"/>
        <w:spacing w:after="0" w:line="323" w:lineRule="auto"/>
        <w:rPr>
          <w:sz w:val="20"/>
          <w:szCs w:val="20"/>
          <w:color w:val="auto"/>
        </w:rPr>
      </w:pPr>
      <w:r>
        <w:rPr>
          <w:rFonts w:ascii="Arial" w:cs="Arial" w:eastAsia="Arial" w:hAnsi="Arial"/>
          <w:sz w:val="15"/>
          <w:szCs w:val="15"/>
          <w:color w:val="auto"/>
        </w:rPr>
        <w:t>In mouse models, our delivery peptides retained the robust activity of previous generations of high arginine content CPPs, and yet possess an improved tolerability profile that we believe increases their likelihood of successful clinical translation. In our extensive preclinical assessments of these novel peptides across models ranging from mice to NHPs, we have succeeded in efficiently delivering nucleic acid payloads to their targets, and have achieved meaningful levels of activity without the dose-limiting toxicities that have traditionally been associated with other peptides in this class of intracellular delivery agents.</w:t>
      </w:r>
    </w:p>
    <w:p>
      <w:pPr>
        <w:spacing w:after="0" w:line="97"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In order to demonstrate that our EDO platform possesses an improved therapeutic index over precursor CPPs – in this instance the ‘Pip’ peptides previously developed by Gait and Wood – we assessed the exon skipping efficiency and tolerability of a number of CPP-PMO conjugates in wild-type mice by utilizing the well-established ASO sequence that skips exon 23 of the murine dystrophin mRNA. As seen in the figure below, this study demonstrated that the EDO conjugates retained the high levels of activity seen with the Pip conjugates – over 75% exon skipping was observed in the tibialis anterior, or TA, following a single dose of 30 mg/kg – while reducing the urinary levels of Kidney Injury Molecule-1, or KIM-1, a marker of renal toxicity, by a factor of over</w:t>
      </w:r>
    </w:p>
    <w:p>
      <w:pPr>
        <w:spacing w:after="0" w:line="2" w:lineRule="exact"/>
        <w:rPr>
          <w:sz w:val="20"/>
          <w:szCs w:val="20"/>
          <w:color w:val="auto"/>
        </w:rPr>
      </w:pPr>
    </w:p>
    <w:p>
      <w:pPr>
        <w:ind w:right="380" w:firstLine="8"/>
        <w:spacing w:after="0" w:line="323" w:lineRule="auto"/>
        <w:tabs>
          <w:tab w:leader="none" w:pos="351"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Thus, our EDO technology displayed a wider therapeutic index than historical CPPs, which we believe supports the further development and clinical translation of our product candidates and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89535</wp:posOffset>
            </wp:positionV>
            <wp:extent cx="5031740" cy="1637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3174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EDO technology has a wider therapeutic index than precursor CPP-PMOs.</w:t>
      </w:r>
    </w:p>
    <w:p>
      <w:pPr>
        <w:spacing w:after="0" w:line="96"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We believe this finding represents a true step-change in the CPP field. While traditional CPPs traded efficacy for toxicity, often because they contained a high absolute number and concentration of arginine residues, our novel delivery peptides are designed to decouple this relationship. We believe the unique structural characteristics of the EDO peptides allow this class of CPPs to retain impressive cell penetration while mitigating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320" w:top="459" w:right="3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unacceptable toxicities seen with earlier generations of CPPs, including the Pips. We seek to leverage these characteristics with the goal of developing a safe and effective portfolio of EDO therapeutics.</w:t>
      </w:r>
    </w:p>
    <w:p>
      <w:pPr>
        <w:spacing w:after="0" w:line="213" w:lineRule="exact"/>
        <w:rPr>
          <w:sz w:val="20"/>
          <w:szCs w:val="20"/>
          <w:color w:val="auto"/>
        </w:rPr>
      </w:pPr>
    </w:p>
    <w:p>
      <w:pPr>
        <w:ind w:right="5500"/>
        <w:spacing w:after="0" w:line="344" w:lineRule="auto"/>
        <w:rPr>
          <w:sz w:val="20"/>
          <w:szCs w:val="20"/>
          <w:color w:val="auto"/>
        </w:rPr>
      </w:pPr>
      <w:r>
        <w:rPr>
          <w:rFonts w:ascii="Arial" w:cs="Arial" w:eastAsia="Arial" w:hAnsi="Arial"/>
          <w:sz w:val="18"/>
          <w:szCs w:val="18"/>
          <w:b w:val="1"/>
          <w:bCs w:val="1"/>
          <w:i w:val="1"/>
          <w:iCs w:val="1"/>
          <w:color w:val="auto"/>
        </w:rPr>
        <w:t xml:space="preserve">Comparison with Other Oligonucleotide Delivery Technologies in Development </w:t>
      </w:r>
      <w:r>
        <w:rPr>
          <w:rFonts w:ascii="Arial" w:cs="Arial" w:eastAsia="Arial" w:hAnsi="Arial"/>
          <w:sz w:val="18"/>
          <w:szCs w:val="18"/>
          <w:i w:val="1"/>
          <w:iCs w:val="1"/>
          <w:color w:val="auto"/>
        </w:rPr>
        <w:t>Other CPP-PMO approaches</w:t>
      </w:r>
    </w:p>
    <w:p>
      <w:pPr>
        <w:spacing w:after="0" w:line="1" w:lineRule="exact"/>
        <w:rPr>
          <w:sz w:val="20"/>
          <w:szCs w:val="20"/>
          <w:color w:val="auto"/>
        </w:rPr>
      </w:pPr>
    </w:p>
    <w:p>
      <w:pPr>
        <w:ind w:right="40" w:firstLine="449"/>
        <w:spacing w:after="0" w:line="241" w:lineRule="auto"/>
        <w:rPr>
          <w:sz w:val="20"/>
          <w:szCs w:val="20"/>
          <w:color w:val="auto"/>
        </w:rPr>
      </w:pPr>
      <w:r>
        <w:rPr>
          <w:rFonts w:ascii="Arial" w:cs="Arial" w:eastAsia="Arial" w:hAnsi="Arial"/>
          <w:sz w:val="18"/>
          <w:szCs w:val="18"/>
          <w:color w:val="auto"/>
        </w:rPr>
        <w:t>There are a number of other peptide-mediated approaches that are currently being developed for the safe and efficient delivery of oligonucleotide therapeutics. Of these, we have, through an extensive review of publicly-available presentations and patent applications, hypothesized that the most clinically advanced peptide-based delivery approach for oligonucleotides leverages the cell-penetrating properties of a hexa-arginine sequence with an additional glycine residue. We refer to this CPP as R</w:t>
      </w:r>
      <w:r>
        <w:rPr>
          <w:rFonts w:ascii="Arial" w:cs="Arial" w:eastAsia="Arial" w:hAnsi="Arial"/>
          <w:sz w:val="22"/>
          <w:szCs w:val="22"/>
          <w:color w:val="auto"/>
          <w:vertAlign w:val="subscript"/>
        </w:rPr>
        <w:t>6</w:t>
      </w:r>
      <w:r>
        <w:rPr>
          <w:rFonts w:ascii="Arial" w:cs="Arial" w:eastAsia="Arial" w:hAnsi="Arial"/>
          <w:sz w:val="18"/>
          <w:szCs w:val="18"/>
          <w:color w:val="auto"/>
        </w:rPr>
        <w:t>G herein, and have conducted extensive preclinical studies to compare the biodistribution and activity of our model of this moiety with our novel EDO peptides.</w:t>
      </w:r>
    </w:p>
    <w:p>
      <w:pPr>
        <w:spacing w:after="0" w:line="157" w:lineRule="exact"/>
        <w:rPr>
          <w:sz w:val="20"/>
          <w:szCs w:val="20"/>
          <w:color w:val="auto"/>
        </w:rPr>
      </w:pPr>
    </w:p>
    <w:p>
      <w:pPr>
        <w:ind w:firstLine="449"/>
        <w:spacing w:after="0" w:line="257" w:lineRule="auto"/>
        <w:rPr>
          <w:sz w:val="20"/>
          <w:szCs w:val="20"/>
          <w:color w:val="auto"/>
        </w:rPr>
      </w:pPr>
      <w:r>
        <w:rPr>
          <w:rFonts w:ascii="Arial" w:cs="Arial" w:eastAsia="Arial" w:hAnsi="Arial"/>
          <w:sz w:val="16"/>
          <w:szCs w:val="16"/>
          <w:color w:val="auto"/>
        </w:rPr>
        <w:t xml:space="preserve">We have observed robust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our EDO technology in a number of animal models, and significantly higher activity when compared to our model of the competing R</w:t>
      </w:r>
      <w:r>
        <w:rPr>
          <w:rFonts w:ascii="Arial" w:cs="Arial" w:eastAsia="Arial" w:hAnsi="Arial"/>
          <w:sz w:val="20"/>
          <w:szCs w:val="20"/>
          <w:color w:val="auto"/>
          <w:vertAlign w:val="subscript"/>
        </w:rPr>
        <w:t>6</w:t>
      </w:r>
      <w:r>
        <w:rPr>
          <w:rFonts w:ascii="Arial" w:cs="Arial" w:eastAsia="Arial" w:hAnsi="Arial"/>
          <w:sz w:val="16"/>
          <w:szCs w:val="16"/>
          <w:color w:val="auto"/>
        </w:rPr>
        <w:t>G approach. In a head-to-head study conducted in wild-type mice using the established exon 23-skipping agent, a single 10 mg/kg intravenous dose of our EDO conjugate resulted in exon skipping levels that were four-fold higher than those induced by the R</w:t>
      </w:r>
      <w:r>
        <w:rPr>
          <w:rFonts w:ascii="Arial" w:cs="Arial" w:eastAsia="Arial" w:hAnsi="Arial"/>
          <w:sz w:val="20"/>
          <w:szCs w:val="20"/>
          <w:color w:val="auto"/>
          <w:vertAlign w:val="subscript"/>
        </w:rPr>
        <w:t>6</w:t>
      </w:r>
      <w:r>
        <w:rPr>
          <w:rFonts w:ascii="Arial" w:cs="Arial" w:eastAsia="Arial" w:hAnsi="Arial"/>
          <w:sz w:val="16"/>
          <w:szCs w:val="16"/>
          <w:color w:val="auto"/>
        </w:rPr>
        <w:t>G conjugate at the same dose when measured by RT-PCR TA seven days after dosing. In a repeat-dose study, three 30 mg/kg intravenous doses of our EDO conjugate every two weeks resulted in exon skipping levels that were seven-fold higher than those of the R</w:t>
      </w:r>
      <w:r>
        <w:rPr>
          <w:rFonts w:ascii="Arial" w:cs="Arial" w:eastAsia="Arial" w:hAnsi="Arial"/>
          <w:sz w:val="20"/>
          <w:szCs w:val="20"/>
          <w:color w:val="auto"/>
          <w:vertAlign w:val="subscript"/>
        </w:rPr>
        <w:t>6</w:t>
      </w:r>
      <w:r>
        <w:rPr>
          <w:rFonts w:ascii="Arial" w:cs="Arial" w:eastAsia="Arial" w:hAnsi="Arial"/>
          <w:sz w:val="16"/>
          <w:szCs w:val="16"/>
          <w:color w:val="auto"/>
        </w:rPr>
        <w:t>G conjugate, also dosed 3 times at 30 mg/kg, when measured by RT-PCR in the heart seven days after the last dose. We believe the higher level of exon skipping achieved in this study supports the ability of our EDO technology to effectively deliver oligonucleotides to cardiac tissue and provides us with an opportunity to address the primary cause of death in DMD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124460</wp:posOffset>
            </wp:positionV>
            <wp:extent cx="5040630" cy="15005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406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 and multiple doses of our EDO conjugate led to increased exon skipping compared to the R</w:t>
      </w:r>
      <w:r>
        <w:rPr>
          <w:rFonts w:ascii="Arial" w:cs="Arial" w:eastAsia="Arial" w:hAnsi="Arial"/>
          <w:sz w:val="22"/>
          <w:szCs w:val="22"/>
          <w:b w:val="1"/>
          <w:bCs w:val="1"/>
          <w:color w:val="auto"/>
          <w:vertAlign w:val="subscript"/>
        </w:rPr>
        <w:t>6</w:t>
      </w:r>
      <w:r>
        <w:rPr>
          <w:rFonts w:ascii="Arial" w:cs="Arial" w:eastAsia="Arial" w:hAnsi="Arial"/>
          <w:sz w:val="18"/>
          <w:szCs w:val="18"/>
          <w:b w:val="1"/>
          <w:bCs w:val="1"/>
          <w:color w:val="auto"/>
        </w:rPr>
        <w:t>G conjugate.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Antibody-oligonucleotide approaches</w:t>
      </w:r>
    </w:p>
    <w:p>
      <w:pPr>
        <w:spacing w:after="0" w:line="90" w:lineRule="exact"/>
        <w:rPr>
          <w:sz w:val="20"/>
          <w:szCs w:val="20"/>
          <w:color w:val="auto"/>
        </w:rPr>
      </w:pPr>
    </w:p>
    <w:p>
      <w:pPr>
        <w:ind w:right="280" w:firstLine="449"/>
        <w:spacing w:after="0" w:line="256" w:lineRule="auto"/>
        <w:rPr>
          <w:sz w:val="20"/>
          <w:szCs w:val="20"/>
          <w:color w:val="auto"/>
        </w:rPr>
      </w:pPr>
      <w:r>
        <w:rPr>
          <w:rFonts w:ascii="Arial" w:cs="Arial" w:eastAsia="Arial" w:hAnsi="Arial"/>
          <w:sz w:val="18"/>
          <w:szCs w:val="18"/>
          <w:color w:val="auto"/>
        </w:rPr>
        <w:t>In addition to the CPP-PMO approaches described above, a number of groups are developing antibody-oligonucleotide conjugates with the aim of enhancing the delivery and activity of their cargo therapeutics. These groups utilize both antigen-binding fragments, or Fabs, and monoclonal antibodies, or mAbs, as delivery vectors, to target specific cell surface receptors. We believe our EDO platform offers significant potential benefits over such approaches, including:</w:t>
      </w:r>
    </w:p>
    <w:p>
      <w:pPr>
        <w:spacing w:after="0" w:line="62" w:lineRule="exact"/>
        <w:rPr>
          <w:sz w:val="20"/>
          <w:szCs w:val="20"/>
          <w:color w:val="auto"/>
        </w:rPr>
      </w:pPr>
    </w:p>
    <w:p>
      <w:pPr>
        <w:ind w:left="880" w:hanging="427"/>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More efficient tissue penetration due to the small size of our EDO delivery peptides relative to an antibody or antibody fragment;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ability to deliver across the blood-brain barrier to the CNS;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Limited immunogenicity or complement activation risk due to the considerably lower protein load associated with our EDO peptides;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 scalable, facile, fully-synthetic manufacturing process with no cell-based processes that is supported by a readily-characterizable drug product.</w:t>
      </w:r>
    </w:p>
    <w:p>
      <w:pPr>
        <w:spacing w:after="0" w:line="194" w:lineRule="exact"/>
        <w:rPr>
          <w:sz w:val="20"/>
          <w:szCs w:val="20"/>
          <w:color w:val="auto"/>
        </w:rPr>
      </w:pPr>
    </w:p>
    <w:p>
      <w:pPr>
        <w:ind w:right="520" w:firstLine="449"/>
        <w:spacing w:after="0" w:line="268" w:lineRule="auto"/>
        <w:rPr>
          <w:sz w:val="20"/>
          <w:szCs w:val="20"/>
          <w:color w:val="auto"/>
        </w:rPr>
      </w:pPr>
      <w:r>
        <w:rPr>
          <w:rFonts w:ascii="Arial" w:cs="Arial" w:eastAsia="Arial" w:hAnsi="Arial"/>
          <w:sz w:val="18"/>
          <w:szCs w:val="18"/>
          <w:color w:val="auto"/>
        </w:rPr>
        <w:t>We believe these benefits support the further development and clinical translation of our suite of EDO product candidates and underpin our robust competitive position in the neuromuscular and neurologic disease space.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Improved Biodistribution of the EDO platform</w:t>
      </w:r>
    </w:p>
    <w:p>
      <w:pPr>
        <w:spacing w:after="0" w:line="9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addition to advantages over precursor CPPs and other delivery technologies in development, we believe our EDO platform has the potential to achieve robust delivery of cargo therapeutics to a very broad range of target tissues based on our observations in NHPs. Following a single intravenous dose of PGN-EDO51 in NHPs, quantifiable levels of PMO were observed in muscle tissues throughout the body, including cardiac muscle, as well as in brain tissues such as cerebral cortex and cerebellum, one week after administration. We believe this broad biodistribution highlights the potential of our technology to deliver to critical yet difficult-to-reach tissue types like cardiac muscle and positions our EDO platform to treat diseases with multi-systemic pathologies, like DMD and DM1.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122555</wp:posOffset>
            </wp:positionV>
            <wp:extent cx="4980305" cy="1543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8030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single administration of PGN-EDO51 in NHPs led to tissue exposure of the cargo PMO therapeutic in muscle and brain tissue on study day 8.</w:t>
      </w:r>
    </w:p>
    <w:p>
      <w:pPr>
        <w:spacing w:after="0" w:line="119"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Furthermore, we are particularly excited by the potential of this technology to deliver therapeutic agents to the CNS with intravenous dosing. While the levels of the cargo PMO are lower than for the other tissue types investigated, this biodistribution study provides robust evidence to suggest that our peptides are capable of delivering conjugated moieties across the blood-brain barrier, a characteristic which may in turn allow us to address the CNS phenotypes that are evident in DM1 patients. In addition, we believe that this result supports the future development of EDO therapeutics for neurologic indications, and work is ongoing to further understand our ability to deliver cargo oligonucleotides to various regions of the brain and CNS.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Scalable Manufacturing Process</w:t>
      </w:r>
    </w:p>
    <w:p>
      <w:pPr>
        <w:spacing w:after="0" w:line="9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Our manufacturing process is modular in nature – the peptide and oligonucleotide components are assembled using readily available building blocks, and are subsequently conjugated using well-established methodologies. This process is fully synthetic in nature and does not rely on microbial fermentation, thus substantially reducing the risk of introducing microbial DNA or protein into our product candidates. Furthermore, our manufacturing process is highly scalable and easily characterizable – attributes that we will seek to leverage in supporting the rapid development and clinical translation of our EDO conjugate therapeutics. We have produced, manufactured and released multiple cGMP batches.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205740</wp:posOffset>
            </wp:positionV>
            <wp:extent cx="5048885" cy="18256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4888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developed a robust manufacturing process for our EDO product candidates.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and Efficient Pipeline Development</w:t>
      </w:r>
    </w:p>
    <w:p>
      <w:pPr>
        <w:spacing w:after="0" w:line="9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Our initial preclinical programs leverage the same EDO peptide to enhance the delivery and cellular and nuclear uptake of oligonucleotide therapeutic candidates. We intend to apply our deep understanding of our EDO platform and preclinical programs to support the rapid development of additional product candidates for other neuromuscular and neurologic indications where our CPP can be applied. We believe the ability of our EDO peptides to deliver exon skipping therapeutics to muscle cells, including cardiac muscle cells, is largely independent of the exact sequence of the ASO. Therefore, by leveraging existing preclinical data and the plug-and-play nature of our EDO platform, we believe that we are well-positioned to rapidly develop additional product candidates with the potential to drive clinically-relevant therapeutic outcomes in a wide variety of tissue types. We demonstrated the validity of this approach with one of our product candidates by moving from concept to the initiation of NHP studies in less than a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An Initial Focus on Neuromuscular Diseases</w:t>
      </w:r>
    </w:p>
    <w:p>
      <w:pPr>
        <w:spacing w:after="0" w:line="9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are harnessing the power of our EDO platform to generate a pipeline of oligonucleotide therapeutic candidates engineered to safely and effectively target the root cause of serious neuromuscular diseases. We are initially focused on addressing neuromuscular indications and are building a portfolio of therapeutic candidates to address the underlying genetic mutations found in Duchenne muscular dystrophy and myotonic dystrophy type 1. We anticipate expanding this pipeline to include other neuromuscular targets, along with opportunities in neurologic indications, and we seek to leverage the modular, scalable nature of our EDO technology to support our rapid expansion into these new therapeutic areas. We have worldwide development and commercialization rights to all our programs.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77790" cy="26403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7779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PGN-EDO51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5"/>
          <w:szCs w:val="15"/>
          <w:color w:val="auto"/>
        </w:rPr>
        <w:t>Our initial product candidate is PGN-EDO51, an EDO peptide-conjugated exon 51-skipping PMO, that we are developing for the treatment of DMD patients with mutations amenable to treatment with an exon 51 skipping approach. PGN-EDO51 is designed to splice out exon 51 of the dystrophin pre-mRNA, resulting in the restoration of the open reading frame of the dystrophin transcript and production of an internally deleted, yet functional dystrophin protein. In wild-type NHP studies, we have observed robust levels of exon skipping and established greater head-to-head activity of our candidate compared to R</w:t>
      </w:r>
      <w:r>
        <w:rPr>
          <w:rFonts w:ascii="Arial" w:cs="Arial" w:eastAsia="Arial" w:hAnsi="Arial"/>
          <w:sz w:val="19"/>
          <w:szCs w:val="19"/>
          <w:color w:val="auto"/>
          <w:vertAlign w:val="subscript"/>
        </w:rPr>
        <w:t>6</w:t>
      </w:r>
      <w:r>
        <w:rPr>
          <w:rFonts w:ascii="Arial" w:cs="Arial" w:eastAsia="Arial" w:hAnsi="Arial"/>
          <w:sz w:val="15"/>
          <w:szCs w:val="15"/>
          <w:color w:val="auto"/>
        </w:rPr>
        <w:t>G-PMO, which we believe is structurally equivalent to Sarepta’s SRP-5051, the most clinically advanced peptide-ASO conjugate. In addition, in preclinical</w:t>
      </w:r>
    </w:p>
    <w:p>
      <w:pPr>
        <w:spacing w:after="0" w:line="3" w:lineRule="exact"/>
        <w:rPr>
          <w:sz w:val="20"/>
          <w:szCs w:val="20"/>
          <w:color w:val="auto"/>
        </w:rPr>
      </w:pPr>
    </w:p>
    <w:p>
      <w:pPr>
        <w:spacing w:after="0"/>
        <w:tabs>
          <w:tab w:leader="none" w:pos="9680" w:val="left"/>
        </w:tabs>
        <w:rPr>
          <w:sz w:val="20"/>
          <w:szCs w:val="20"/>
          <w:color w:val="auto"/>
        </w:rPr>
      </w:pPr>
      <w:r>
        <w:rPr>
          <w:rFonts w:ascii="Arial" w:cs="Arial" w:eastAsia="Arial" w:hAnsi="Arial"/>
          <w:sz w:val="16"/>
          <w:szCs w:val="16"/>
          <w:color w:val="auto"/>
        </w:rPr>
        <w:t>testing, PGN-EDO51 was generally well-tolerated at target dose levels. We anticipate filing our CTA for this product candidate in</w:t>
      </w:r>
      <w:r>
        <w:rPr>
          <w:sz w:val="20"/>
          <w:szCs w:val="20"/>
          <w:color w:val="auto"/>
        </w:rPr>
        <w:tab/>
      </w:r>
      <w:r>
        <w:rPr>
          <w:rFonts w:ascii="Arial" w:cs="Arial" w:eastAsia="Arial" w:hAnsi="Arial"/>
          <w:sz w:val="14"/>
          <w:szCs w:val="14"/>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 and prevalence</w:t>
      </w:r>
    </w:p>
    <w:p>
      <w:pPr>
        <w:spacing w:after="0" w:line="90"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DMD is a debilitating X-linked recessive muscle-wasting disease, predominantly affecting boys. It is one of the most prevalent rare genetic diseases globally, with an incidence of up to 1 in 3,500 live male births, and it is invariably fatal by young adulthood. There are up to 15,000 DMD patients in the United States and approximately 25,000 DMD patients in Europe.</w:t>
      </w:r>
    </w:p>
    <w:p>
      <w:pPr>
        <w:spacing w:after="0" w:line="14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Early symptoms of disease include difficulty walking or jumping, loss of balance, and increased fatigue when compared to healthy peers. By their mid-teenage years, most DMD patients will need to use a wheelchair on a regular basis. As the disease progresses, life-threatening heart and respiratory conditions become common. Dilated cardiomyopathy, a condition where the cardiac muscle becomes weakened and the chambers of the heart are enlarged, often arises, and heart failure is a leading cause of death in DMD patients. Pulmonary function also becomes progressively impaired as the dystrophic process affects respiratory muscles, including the diaphragm, leading to significant morbidity and mortality. DMD patients ultimately succumb to cardiac and respiratory failure in their late teens or early twenties. The mean lifespan of patients with Duchenne muscular dystrophy is approximately 25 years.</w:t>
      </w:r>
    </w:p>
    <w:p>
      <w:pPr>
        <w:spacing w:after="0" w:line="12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DMD is a progressive disease caused by mutations in the gene encoding dystrophin, a protein necessary for normal muscle function. The primary role of dystrophin is as a shock absorber, with this protein allowing muscle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320" w:top="459" w:right="3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cells to retain their structural integrity while under mechanical stress. In the absence of dystrophin, muscle fibers are no longer protected from the mechanical forces of contraction, which leads to cell death, fibrotic tissue formation and muscle degeneration. Therefore, the restoration of dystrophin is a compelling therapeutic strategy, and a number of therapeutic modalities have been explored with this goal in mind. However, the nature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the range of mutations implicated in DMD, and the large size of the dystrophin protein itself provide considerable challenges for this approach.</w:t>
      </w:r>
    </w:p>
    <w:p>
      <w:pPr>
        <w:spacing w:after="0" w:line="193"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at 2.1 million base pairs and 79 exons, is one of the largest in the human genome. Over 6,000 mutations are known, and the gene has a relatively high natural mutation rate, with approximately 1 in 3 DMD cases arising due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mutation. There is no one mutation that is highly prevalent, and this factor provides a considerable challenge for therapeutics looking to target the root genetic cause of this debilitating disease.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That said, mutations in the dystrophin gene are not random, with hotspots of mutations between exons 45-53 and to a lesser extent between exons 2-20.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13% of patients with DMD have mutations that are amenable to treatment with an exon 51-skipping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135890</wp:posOffset>
            </wp:positionV>
            <wp:extent cx="2194560" cy="2194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9456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Breakdown of DMD population amenable to treatment by skipping exons.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approaches and limitations</w:t>
      </w:r>
    </w:p>
    <w:p>
      <w:pPr>
        <w:spacing w:after="0" w:line="90"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There is no cure for DMD and there are no treatments that have clinically demonstrated a major impact on disease progression. Corticosteroids are the mainstay of pharmacologic treatment for DMD as they have been shown to temporarily improve muscle strength, prolong the period of ambulation and slow the progression of DMD. However, glucocorticoid use is associated with well-known adverse effects, such as weight gain, stunted growth, weakening of bone structure, high blood pressure, diabetes, psychological effects, skin thinning and an increased risk of infection.</w:t>
      </w:r>
    </w:p>
    <w:p>
      <w:pPr>
        <w:spacing w:after="0" w:line="112"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Several approaches have been taken to address groups of mutations in the dystrophin gene. Ataluren is a small molecule that enables the dystrophin protein synthesis machinery to bypass nonsense mutations, where a stop codon is introduced into the dystrophin messenger RNA, or mRNA, preventing the synthesis of full-length dystrophin protein. Ataluren, marketed by PTC Therapeutics as Translarna, has received conditional approval in a number of countries outside of the United States, including across the European Economic Area. However, an approval has yet to be granted by the FDA.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 xml:space="preserve">An alternate approach to correcting mutations in the dystrophin gene is to alter the processing of the dystrophin mRNA. A number of DMD patients suffer from mutations that result in the disruption of the reading frame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transcript, which in turn leads to an absence of the dystrophin protein. Using an antisense oligonucleotide, or ASO, the mRNA splicing process in the nucleus can be altered to skip over a select exon, allowing the open reading frame to be restored. This exon skipping approach results in the subsequent generation of dystrophin protein isoform which, although internally deleted, retains much of its function and can thus protect muscle tissue against further contraction-induced damage.</w:t>
      </w:r>
    </w:p>
    <w:p>
      <w:pPr>
        <w:spacing w:after="0" w:line="115" w:lineRule="exact"/>
        <w:rPr>
          <w:sz w:val="20"/>
          <w:szCs w:val="20"/>
          <w:color w:val="auto"/>
        </w:rPr>
      </w:pPr>
    </w:p>
    <w:p>
      <w:pPr>
        <w:jc w:val="both"/>
        <w:ind w:right="40" w:firstLine="449"/>
        <w:spacing w:after="0" w:line="291" w:lineRule="auto"/>
        <w:rPr>
          <w:sz w:val="20"/>
          <w:szCs w:val="20"/>
          <w:color w:val="auto"/>
        </w:rPr>
      </w:pPr>
      <w:r>
        <w:rPr>
          <w:rFonts w:ascii="Arial" w:cs="Arial" w:eastAsia="Arial" w:hAnsi="Arial"/>
          <w:sz w:val="16"/>
          <w:szCs w:val="16"/>
          <w:color w:val="auto"/>
        </w:rPr>
        <w:t>Several unconjugated, or ‘naked’ ASOs have been approved to treat DMD, including eteplirsen, marketed as Exondys 51</w:t>
      </w:r>
      <w:r>
        <w:rPr>
          <w:rFonts w:ascii="Arial" w:cs="Arial" w:eastAsia="Arial" w:hAnsi="Arial"/>
          <w:sz w:val="10"/>
          <w:szCs w:val="10"/>
          <w:color w:val="auto"/>
        </w:rPr>
        <w:t>®</w:t>
      </w:r>
      <w:r>
        <w:rPr>
          <w:rFonts w:ascii="Arial" w:cs="Arial" w:eastAsia="Arial" w:hAnsi="Arial"/>
          <w:sz w:val="16"/>
          <w:szCs w:val="16"/>
          <w:color w:val="auto"/>
        </w:rPr>
        <w:t xml:space="preserve"> by Sarepta for the treatment of mutations amenable to exon 51 skipping. This drug received accelerated approval from the FDA based on less than 1% expression of dystrophin, with this readout being considered a valid surrogate endpoint under the Accelerated Approval regulatory pathway. Published observational studies of small numbers of patients on Exondys 51</w:t>
      </w:r>
      <w:r>
        <w:rPr>
          <w:rFonts w:ascii="Arial" w:cs="Arial" w:eastAsia="Arial" w:hAnsi="Arial"/>
          <w:sz w:val="10"/>
          <w:szCs w:val="10"/>
          <w:color w:val="auto"/>
        </w:rPr>
        <w:t>®</w:t>
      </w:r>
      <w:r>
        <w:rPr>
          <w:rFonts w:ascii="Arial" w:cs="Arial" w:eastAsia="Arial" w:hAnsi="Arial"/>
          <w:sz w:val="16"/>
          <w:szCs w:val="16"/>
          <w:color w:val="auto"/>
        </w:rPr>
        <w:t xml:space="preserve"> appear to show somewhat slower progression than historical controls. However, at this level of dystrophin, this therapeutic has yet to formally establish evidence of clinical benefit through rigorously powered and adequately controlled clinical trials with functional endpoints. Exondys 51</w:t>
      </w:r>
      <w:r>
        <w:rPr>
          <w:rFonts w:ascii="Arial" w:cs="Arial" w:eastAsia="Arial" w:hAnsi="Arial"/>
          <w:sz w:val="10"/>
          <w:szCs w:val="10"/>
          <w:color w:val="auto"/>
        </w:rPr>
        <w:t>®</w:t>
      </w:r>
      <w:r>
        <w:rPr>
          <w:rFonts w:ascii="Arial" w:cs="Arial" w:eastAsia="Arial" w:hAnsi="Arial"/>
          <w:sz w:val="16"/>
          <w:szCs w:val="16"/>
          <w:color w:val="auto"/>
        </w:rPr>
        <w:t xml:space="preserve"> has not been approved in the EU on the basis of this minimal degree of dystrophin restoration as a surrogate endpoint.</w:t>
      </w:r>
    </w:p>
    <w:p>
      <w:pPr>
        <w:spacing w:after="0" w:line="120"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In addition to oligonucleotide therapeutics, gene therapy approaches are in clinical development as potential treatments for DMD. Exon skipping does not face some of the inherent challenges associated with gene therapy approaches, including:</w:t>
      </w:r>
    </w:p>
    <w:p>
      <w:pPr>
        <w:spacing w:after="0" w:line="51" w:lineRule="exact"/>
        <w:rPr>
          <w:sz w:val="20"/>
          <w:szCs w:val="20"/>
          <w:color w:val="auto"/>
        </w:rPr>
      </w:pPr>
    </w:p>
    <w:p>
      <w:pPr>
        <w:ind w:left="880" w:right="360" w:hanging="427"/>
        <w:spacing w:after="0" w:line="331" w:lineRule="auto"/>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Limited packaging size of AAV vectors, resulting in the need to employ truncated ‘microdystrophin’ genes with an unclear functional benefit, where &gt;50% of the dystrophin gene is omitted, including regions that correspond to key structural and binding domains;</w:t>
      </w:r>
    </w:p>
    <w:p>
      <w:pPr>
        <w:spacing w:after="0" w:line="5" w:lineRule="exact"/>
        <w:rPr>
          <w:rFonts w:ascii="Arial" w:cs="Arial" w:eastAsia="Arial" w:hAnsi="Arial"/>
          <w:sz w:val="16"/>
          <w:szCs w:val="16"/>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Increased safety concerns with high-dose AAV-based gene therapies (e.g. complement activation);</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Immunogenicity of AAV, resulting in</w:t>
      </w:r>
    </w:p>
    <w:p>
      <w:pPr>
        <w:spacing w:after="0" w:line="90"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 to half of all patients possessing antibodies against the most commonly used recombinant AAV vector serotypes, precluding their eligibility for treatment;</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Production of anti-AAV antibodies in treated patients, resulting in an inability to redose;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Loss of gene copies over time as patients mature and their cells divide, reducing the durability of therapeutic effect;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Complexity and challenges inherent to manufacturing of AAV-based therapies.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w:t>
      </w:r>
    </w:p>
    <w:p>
      <w:pPr>
        <w:spacing w:after="0" w:line="9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are developing a portfolio of product candidates to treat DMD in which exon skipping PMOs are conjugated to our EDO peptide in order to enhance their delivery to muscle cells. Our initial product candidate is PGN-EDO51, an investigational EDO peptide-conjugated exon 51-skipping ASO with a proposed mechanism of action we believe to be identical to that of eteplirsen.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9" w:right="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205740</wp:posOffset>
            </wp:positionV>
            <wp:extent cx="5014595" cy="26485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1459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EDO51 is designed to facilitate the skipping of exon 51, allowing the synthesis of a shortened, but functional, dystrophin.</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The key differentiator between PGN-EDO51 and other exon 51-skipping approaches is the greater activity observed with PGN-EDO51 in preclinical models. We believe the higher levels of exon skipping obtained with PGN-EDO51 in NHPs in comparison to published data for other such therapies is directly related to the ability of our EDO platform to drive cellular uptake and nuclear delivery of the PMO cargo therapeutic to the cellular compartment where interaction with the mRNA takes place.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preclinical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Activity data: Significant improvements in exon skipping levels</w:t>
      </w:r>
    </w:p>
    <w:p>
      <w:pPr>
        <w:spacing w:after="0" w:line="90"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 xml:space="preserve">We have demonstrated the robust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of PGN-EDO51 in a number of preclinical NHP studies. There is complete homology of the oligonucleotide binding site between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in humans and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in NHPs for an exon 51-skipping therapeutic, thus allowing the activity of our clinical candidate to be assessed in this large animal model. We believe that the data obtained from NHP studies may offer valuable insight into the potential activity, biodistribution and safety readouts that will be obtained for PGN-EDO51 in human clinical trials.</w:t>
      </w:r>
    </w:p>
    <w:p>
      <w:pPr>
        <w:spacing w:after="0" w:line="112"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an intravenous dose study, we observed that a single administration of PGN-EDO51 in NHPs led to high rates of exon 51 skipping rates in the TA, diaphragm and heart, with these tissues being harvested seven days post-dose and then assayed using a RT-PCR protocol. Of particular note are the results obtained for the heart, where exon skipping rates of 19%, 46% and 87% were obtained following single doses of 20, 40 and 60 mg/kg respectively. We believe these single dose results of PGN-EDO51 represent the highest rate of exon 51 skipping in a primate by any approved therapeutic or known development candidate.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459" w:right="3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205740</wp:posOffset>
            </wp:positionV>
            <wp:extent cx="2280285" cy="1937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8028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 doses of PGN-EDO51 led to high rates of exon 51 skipping in NHPs.</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6"/>
          <w:szCs w:val="16"/>
          <w:color w:val="auto"/>
        </w:rPr>
        <w:t>In order to compare the ability of our EDO peptide to improve cellular uptake of an oligonucleotide therapeutic, we ran studies comparing our EDO-conjugated PMO to the same PMO conjugated to an R</w:t>
      </w:r>
      <w:r>
        <w:rPr>
          <w:rFonts w:ascii="Arial" w:cs="Arial" w:eastAsia="Arial" w:hAnsi="Arial"/>
          <w:sz w:val="20"/>
          <w:szCs w:val="20"/>
          <w:color w:val="auto"/>
          <w:vertAlign w:val="subscript"/>
        </w:rPr>
        <w:t>6</w:t>
      </w:r>
      <w:r>
        <w:rPr>
          <w:rFonts w:ascii="Arial" w:cs="Arial" w:eastAsia="Arial" w:hAnsi="Arial"/>
          <w:sz w:val="16"/>
          <w:szCs w:val="16"/>
          <w:color w:val="auto"/>
        </w:rPr>
        <w:t>G peptide. We have conducted a considerable number of benchmarking studies of PGN-EDO51 against R</w:t>
      </w:r>
      <w:r>
        <w:rPr>
          <w:rFonts w:ascii="Arial" w:cs="Arial" w:eastAsia="Arial" w:hAnsi="Arial"/>
          <w:sz w:val="20"/>
          <w:szCs w:val="20"/>
          <w:color w:val="auto"/>
          <w:vertAlign w:val="subscript"/>
        </w:rPr>
        <w:t>6</w:t>
      </w:r>
      <w:r>
        <w:rPr>
          <w:rFonts w:ascii="Arial" w:cs="Arial" w:eastAsia="Arial" w:hAnsi="Arial"/>
          <w:sz w:val="16"/>
          <w:szCs w:val="16"/>
          <w:color w:val="auto"/>
        </w:rPr>
        <w:t>G-PMO, and we believe – based on publicly-available information – that R</w:t>
      </w:r>
      <w:r>
        <w:rPr>
          <w:rFonts w:ascii="Arial" w:cs="Arial" w:eastAsia="Arial" w:hAnsi="Arial"/>
          <w:sz w:val="20"/>
          <w:szCs w:val="20"/>
          <w:color w:val="auto"/>
          <w:vertAlign w:val="subscript"/>
        </w:rPr>
        <w:t>6</w:t>
      </w:r>
      <w:r>
        <w:rPr>
          <w:rFonts w:ascii="Arial" w:cs="Arial" w:eastAsia="Arial" w:hAnsi="Arial"/>
          <w:sz w:val="16"/>
          <w:szCs w:val="16"/>
          <w:color w:val="auto"/>
        </w:rPr>
        <w:t>G-PMO is structurally equivalent to SRP-5051, Sarepta’s CPP-PMO product candidate that is currently in development for the treatment of DMD patients that are amenable to an exon 51-skipping approach. In this study, NHPs were dosed intravenously with either PGN-EDO51, R</w:t>
      </w:r>
      <w:r>
        <w:rPr>
          <w:rFonts w:ascii="Arial" w:cs="Arial" w:eastAsia="Arial" w:hAnsi="Arial"/>
          <w:sz w:val="20"/>
          <w:szCs w:val="20"/>
          <w:color w:val="auto"/>
          <w:vertAlign w:val="subscript"/>
        </w:rPr>
        <w:t>6</w:t>
      </w:r>
      <w:r>
        <w:rPr>
          <w:rFonts w:ascii="Arial" w:cs="Arial" w:eastAsia="Arial" w:hAnsi="Arial"/>
          <w:sz w:val="16"/>
          <w:szCs w:val="16"/>
          <w:color w:val="auto"/>
        </w:rPr>
        <w:t>G-PMO or a saline control three times with an interval of two weeks between doses. Biopsies of the biceps were collected seven days after the first and second dose, and tissues were harvested seven days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173990</wp:posOffset>
            </wp:positionV>
            <wp:extent cx="3711575" cy="19627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71157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study design enabled robust collection of repeat-dose efficacy and safety data in NHPs.</w:t>
      </w:r>
    </w:p>
    <w:p>
      <w:pPr>
        <w:spacing w:after="0" w:line="96" w:lineRule="exact"/>
        <w:rPr>
          <w:sz w:val="20"/>
          <w:szCs w:val="20"/>
          <w:color w:val="auto"/>
        </w:rPr>
      </w:pPr>
    </w:p>
    <w:p>
      <w:pPr>
        <w:ind w:right="220" w:firstLine="449"/>
        <w:spacing w:after="0" w:line="241" w:lineRule="auto"/>
        <w:rPr>
          <w:sz w:val="20"/>
          <w:szCs w:val="20"/>
          <w:color w:val="auto"/>
        </w:rPr>
      </w:pPr>
      <w:r>
        <w:rPr>
          <w:rFonts w:ascii="Arial" w:cs="Arial" w:eastAsia="Arial" w:hAnsi="Arial"/>
          <w:sz w:val="17"/>
          <w:szCs w:val="17"/>
          <w:color w:val="auto"/>
        </w:rPr>
        <w:t>Analysis of key skeletal muscles collected upon study termination by an RT-PCR protocol demonstrated that a 10 mg/kg repeat dose of PGN-EDO51 achieved exon skipping rates of 48% in the biceps, 43% in the quadriceps and 19% in the latissimus dorsi. In contrast, R</w:t>
      </w:r>
      <w:r>
        <w:rPr>
          <w:rFonts w:ascii="Arial" w:cs="Arial" w:eastAsia="Arial" w:hAnsi="Arial"/>
          <w:sz w:val="21"/>
          <w:szCs w:val="21"/>
          <w:color w:val="auto"/>
          <w:vertAlign w:val="subscript"/>
        </w:rPr>
        <w:t>6</w:t>
      </w:r>
      <w:r>
        <w:rPr>
          <w:rFonts w:ascii="Arial" w:cs="Arial" w:eastAsia="Arial" w:hAnsi="Arial"/>
          <w:sz w:val="17"/>
          <w:szCs w:val="17"/>
          <w:color w:val="auto"/>
        </w:rPr>
        <w:t>G-PMO at the same dose demonstrated exon skipping levels in the biceps, quadriceps and latissimus dorsi of 11%, 5% and 2% respectively. At a dose of 10 mg/kg, PGN-EDO51 exhibited approximately as much activity as a 3-fold higher dose, i.e., 30 mg/kg, of R</w:t>
      </w:r>
      <w:r>
        <w:rPr>
          <w:rFonts w:ascii="Arial" w:cs="Arial" w:eastAsia="Arial" w:hAnsi="Arial"/>
          <w:sz w:val="21"/>
          <w:szCs w:val="21"/>
          <w:color w:val="auto"/>
          <w:vertAlign w:val="subscript"/>
        </w:rPr>
        <w:t>6</w:t>
      </w:r>
      <w:r>
        <w:rPr>
          <w:rFonts w:ascii="Arial" w:cs="Arial" w:eastAsia="Arial" w:hAnsi="Arial"/>
          <w:sz w:val="17"/>
          <w:szCs w:val="17"/>
          <w:color w:val="auto"/>
        </w:rPr>
        <w:t>G-PMO.</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32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205740</wp:posOffset>
            </wp:positionV>
            <wp:extent cx="5048885" cy="2177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4888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Repeat dose administration of PGN-EDO51 yielded high exon skipping rates in heart and diaphragm.</w:t>
      </w:r>
    </w:p>
    <w:p>
      <w:pPr>
        <w:spacing w:after="0" w:line="96" w:lineRule="exact"/>
        <w:rPr>
          <w:sz w:val="20"/>
          <w:szCs w:val="20"/>
          <w:color w:val="auto"/>
        </w:rPr>
      </w:pPr>
    </w:p>
    <w:p>
      <w:pPr>
        <w:ind w:firstLine="449"/>
        <w:spacing w:after="0" w:line="262" w:lineRule="auto"/>
        <w:rPr>
          <w:sz w:val="20"/>
          <w:szCs w:val="20"/>
          <w:color w:val="auto"/>
        </w:rPr>
      </w:pPr>
      <w:r>
        <w:rPr>
          <w:rFonts w:ascii="Arial" w:cs="Arial" w:eastAsia="Arial" w:hAnsi="Arial"/>
          <w:sz w:val="16"/>
          <w:szCs w:val="16"/>
          <w:color w:val="auto"/>
        </w:rPr>
        <w:t>We believe the potentially superior activity of PGN-EDO51 is also exemplified by the exon skipping results obtained for cardiac and diaphragmatic muscle tissue. In patients with DMD, cardiomyopathy and subsequent heart failure is a leading cause of death, and predominantly involves the left ventricle, the chamber responsible for pumping oxygenated blood around the body. A repeat dose of 30 mg/kg resulted in exon 51 skipping levels of over 20% in the left ventricle for PGN-EDO51, while the same dose regimen for R</w:t>
      </w:r>
      <w:r>
        <w:rPr>
          <w:rFonts w:ascii="Arial" w:cs="Arial" w:eastAsia="Arial" w:hAnsi="Arial"/>
          <w:sz w:val="20"/>
          <w:szCs w:val="20"/>
          <w:color w:val="auto"/>
          <w:vertAlign w:val="subscript"/>
        </w:rPr>
        <w:t>6</w:t>
      </w:r>
      <w:r>
        <w:rPr>
          <w:rFonts w:ascii="Arial" w:cs="Arial" w:eastAsia="Arial" w:hAnsi="Arial"/>
          <w:sz w:val="16"/>
          <w:szCs w:val="16"/>
          <w:color w:val="auto"/>
        </w:rPr>
        <w:t>G-PMO yielded an exon skipping rate of 4%. These results highlight a greater than five-fold differential in activity between our EDO lead compound and R</w:t>
      </w:r>
      <w:r>
        <w:rPr>
          <w:rFonts w:ascii="Arial" w:cs="Arial" w:eastAsia="Arial" w:hAnsi="Arial"/>
          <w:sz w:val="20"/>
          <w:szCs w:val="20"/>
          <w:color w:val="auto"/>
          <w:vertAlign w:val="subscript"/>
        </w:rPr>
        <w:t>6</w:t>
      </w:r>
      <w:r>
        <w:rPr>
          <w:rFonts w:ascii="Arial" w:cs="Arial" w:eastAsia="Arial" w:hAnsi="Arial"/>
          <w:sz w:val="16"/>
          <w:szCs w:val="16"/>
          <w:color w:val="auto"/>
        </w:rPr>
        <w:t>G-PMO in this key cardiac tissue. In addition to cardiac pathologies, DMD patients also experience a progressive impairment in pulmonary function due to the impact of the dystrophic process on the respiratory muscles, including the diaphragm, resulting in significant morbidity and mortality over time. In the critical diaphragmatic tissue, a 10 mg/kg repeat dose of PGN-EDO51 afforded exon skipping rates that were approximately 12-fold higher than those observed for R</w:t>
      </w:r>
      <w:r>
        <w:rPr>
          <w:rFonts w:ascii="Arial" w:cs="Arial" w:eastAsia="Arial" w:hAnsi="Arial"/>
          <w:sz w:val="20"/>
          <w:szCs w:val="20"/>
          <w:color w:val="auto"/>
          <w:vertAlign w:val="subscript"/>
        </w:rPr>
        <w:t>6</w:t>
      </w:r>
      <w:r>
        <w:rPr>
          <w:rFonts w:ascii="Arial" w:cs="Arial" w:eastAsia="Arial" w:hAnsi="Arial"/>
          <w:sz w:val="16"/>
          <w:szCs w:val="16"/>
          <w:color w:val="auto"/>
        </w:rPr>
        <w:t>G-PMO.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114935</wp:posOffset>
            </wp:positionV>
            <wp:extent cx="4294505" cy="2314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9450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32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Repeat dose administration of PGN-EDO51 yielded high exon skipping rates in key cardiac and diaphragmatic tissues.</w:t>
      </w:r>
    </w:p>
    <w:p>
      <w:pPr>
        <w:spacing w:after="0" w:line="96" w:lineRule="exact"/>
        <w:rPr>
          <w:sz w:val="20"/>
          <w:szCs w:val="20"/>
          <w:color w:val="auto"/>
        </w:rPr>
      </w:pPr>
    </w:p>
    <w:p>
      <w:pPr>
        <w:ind w:firstLine="449"/>
        <w:spacing w:after="0" w:line="277" w:lineRule="auto"/>
        <w:rPr>
          <w:sz w:val="20"/>
          <w:szCs w:val="20"/>
          <w:color w:val="auto"/>
        </w:rPr>
      </w:pPr>
      <w:r>
        <w:rPr>
          <w:rFonts w:ascii="Arial" w:cs="Arial" w:eastAsia="Arial" w:hAnsi="Arial"/>
          <w:sz w:val="16"/>
          <w:szCs w:val="16"/>
          <w:color w:val="auto"/>
        </w:rPr>
        <w:t>To provide context to our NHP data, we believe it is important to consider data presented by Sarepta for SRP-5051, which we believe is structurally equivalent to the R</w:t>
      </w:r>
      <w:r>
        <w:rPr>
          <w:rFonts w:ascii="Arial" w:cs="Arial" w:eastAsia="Arial" w:hAnsi="Arial"/>
          <w:sz w:val="20"/>
          <w:szCs w:val="20"/>
          <w:color w:val="auto"/>
          <w:vertAlign w:val="subscript"/>
        </w:rPr>
        <w:t>6</w:t>
      </w:r>
      <w:r>
        <w:rPr>
          <w:rFonts w:ascii="Arial" w:cs="Arial" w:eastAsia="Arial" w:hAnsi="Arial"/>
          <w:sz w:val="16"/>
          <w:szCs w:val="16"/>
          <w:color w:val="auto"/>
        </w:rPr>
        <w:t>G-PMO conjugate we used as a comparator in our studies. In a Phase 2 clinical trial of SRP-5051 in DMD patients amenable to an exon 51 skipping approach, Sarepta reported that patients treated with 30 mg/kg of SRP-5051 achieved dystrophin production of 6.55% of normal. The trial demonstrated a dose response, with patients dosed at 30 mg/kg achieving twice as much dystrophin production as patients treated with 20 mg/kg. The trial also demonstrated a positive relationship between exon skipping levels and dystrophin expression, with higher exon skipping resulting in higher dystrophin expression. Sarepta has previously reported data showing that drug exposure for SRP-5051 is similar between NHPs and human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114300</wp:posOffset>
            </wp:positionV>
            <wp:extent cx="3977640" cy="2434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9776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believe PGN-EDO51 has robust clinical potential.</w:t>
      </w:r>
    </w:p>
    <w:p>
      <w:pPr>
        <w:spacing w:after="0" w:line="33" w:lineRule="exact"/>
        <w:rPr>
          <w:sz w:val="20"/>
          <w:szCs w:val="20"/>
          <w:color w:val="auto"/>
        </w:rPr>
      </w:pPr>
    </w:p>
    <w:p>
      <w:pPr>
        <w:ind w:right="100" w:firstLine="449"/>
        <w:spacing w:after="0" w:line="280" w:lineRule="auto"/>
        <w:rPr>
          <w:sz w:val="20"/>
          <w:szCs w:val="20"/>
          <w:color w:val="auto"/>
        </w:rPr>
      </w:pPr>
      <w:r>
        <w:rPr>
          <w:rFonts w:ascii="Arial" w:cs="Arial" w:eastAsia="Arial" w:hAnsi="Arial"/>
          <w:sz w:val="16"/>
          <w:szCs w:val="16"/>
          <w:color w:val="auto"/>
        </w:rPr>
        <w:t>In our head-to-head study in NHPs, PGN-EDO51 dosed at 10 mg/kg resulted in near equivalent exon skipping to the 30 mg/kg dose of R</w:t>
      </w:r>
      <w:r>
        <w:rPr>
          <w:rFonts w:ascii="Arial" w:cs="Arial" w:eastAsia="Arial" w:hAnsi="Arial"/>
          <w:sz w:val="20"/>
          <w:szCs w:val="20"/>
          <w:color w:val="auto"/>
          <w:vertAlign w:val="subscript"/>
        </w:rPr>
        <w:t>6</w:t>
      </w:r>
      <w:r>
        <w:rPr>
          <w:rFonts w:ascii="Arial" w:cs="Arial" w:eastAsia="Arial" w:hAnsi="Arial"/>
          <w:sz w:val="16"/>
          <w:szCs w:val="16"/>
          <w:color w:val="auto"/>
        </w:rPr>
        <w:t>G-PMO, and PGN-EDO51 dosed at 30 mg/kg resulted in significantly higher exon skipping than R</w:t>
      </w:r>
      <w:r>
        <w:rPr>
          <w:rFonts w:ascii="Arial" w:cs="Arial" w:eastAsia="Arial" w:hAnsi="Arial"/>
          <w:sz w:val="20"/>
          <w:szCs w:val="20"/>
          <w:color w:val="auto"/>
          <w:vertAlign w:val="subscript"/>
        </w:rPr>
        <w:t>6</w:t>
      </w:r>
      <w:r>
        <w:rPr>
          <w:rFonts w:ascii="Arial" w:cs="Arial" w:eastAsia="Arial" w:hAnsi="Arial"/>
          <w:sz w:val="16"/>
          <w:szCs w:val="16"/>
          <w:color w:val="auto"/>
        </w:rPr>
        <w:t>G-PMO at the same dose. Given these results, we believe that PGN-EDO51 at the 10 mg/kg dose has the potential to result in comparable dystrophin levels to those obtained following treatment with SRP-5051 at the 30 mg/kg dose in DMD patients. We believe that doses of PGN-EDO51 above 10 mg/kg could generate even greater dystrophin production than the 30 mg/kg dose of SRP-5051, which may lead to clinically-meaningful outcomes for those suffering from this disease. Due to the long half-life of the dystrophin protein, we believe that these levels could continue to accumulate over time and thus enhance the clinical benefit afforded to DMD patients by our EDO technology.</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 data: Generally well-tolerated at clinically-relevant dose levels</w:t>
      </w:r>
    </w:p>
    <w:p>
      <w:pPr>
        <w:spacing w:after="0" w:line="9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PGN-EDO51 was generally well-tolerated in both single and repeat dose studies in NHPs. No treatment-related mortality and no serious adverse events were observed. There was minimal impact on body weight and organ function, and no adverse microscopic observations were associated with PGN-EDO51 dosing.</w:t>
      </w:r>
    </w:p>
    <w:p>
      <w:pPr>
        <w:spacing w:after="0" w:line="140" w:lineRule="exact"/>
        <w:rPr>
          <w:sz w:val="20"/>
          <w:szCs w:val="20"/>
          <w:color w:val="auto"/>
        </w:rPr>
      </w:pPr>
    </w:p>
    <w:p>
      <w:pPr>
        <w:ind w:right="120" w:firstLine="449"/>
        <w:spacing w:after="0" w:line="232" w:lineRule="auto"/>
        <w:rPr>
          <w:sz w:val="20"/>
          <w:szCs w:val="20"/>
          <w:color w:val="auto"/>
        </w:rPr>
      </w:pPr>
      <w:r>
        <w:rPr>
          <w:rFonts w:ascii="Arial" w:cs="Arial" w:eastAsia="Arial" w:hAnsi="Arial"/>
          <w:sz w:val="18"/>
          <w:szCs w:val="18"/>
          <w:color w:val="auto"/>
        </w:rPr>
        <w:t>Measurement of serum magnesium levels indicated hypomagnesemia in NHPs at the upper end of the therapeutic dose range and above; these findings were similar to those observed with R</w:t>
      </w:r>
      <w:r>
        <w:rPr>
          <w:rFonts w:ascii="Arial" w:cs="Arial" w:eastAsia="Arial" w:hAnsi="Arial"/>
          <w:sz w:val="22"/>
          <w:szCs w:val="22"/>
          <w:color w:val="auto"/>
          <w:vertAlign w:val="subscript"/>
        </w:rPr>
        <w:t>6</w:t>
      </w:r>
      <w:r>
        <w:rPr>
          <w:rFonts w:ascii="Arial" w:cs="Arial" w:eastAsia="Arial" w:hAnsi="Arial"/>
          <w:sz w:val="18"/>
          <w:szCs w:val="18"/>
          <w:color w:val="auto"/>
        </w:rPr>
        <w:t>G-PMO following our</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320" w:top="459" w:right="3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repeat-dose head-to-head study in this animal model. No meaningful modulation of magnesium was seen at a dose of 10 mg/kg. R</w:t>
      </w:r>
      <w:r>
        <w:rPr>
          <w:rFonts w:ascii="Arial" w:cs="Arial" w:eastAsia="Arial" w:hAnsi="Arial"/>
          <w:sz w:val="20"/>
          <w:szCs w:val="20"/>
          <w:color w:val="auto"/>
          <w:vertAlign w:val="subscript"/>
        </w:rPr>
        <w:t>6</w:t>
      </w:r>
      <w:r>
        <w:rPr>
          <w:rFonts w:ascii="Arial" w:cs="Arial" w:eastAsia="Arial" w:hAnsi="Arial"/>
          <w:sz w:val="16"/>
          <w:szCs w:val="16"/>
          <w:color w:val="auto"/>
        </w:rPr>
        <w:t>G-PMO shows a similar magnesium profile as PGN-EDO51, with modulation at 30 mg/kg and no meaningful modulation at 10 mg/kg. Furthermore, Sarepta noted that it observed hypomagnesemia in DMD patients at a dose level of 30 mg/kg of SRP-5051. That finding is similar to our own observations of hypomagnesemia for R</w:t>
      </w:r>
      <w:r>
        <w:rPr>
          <w:rFonts w:ascii="Arial" w:cs="Arial" w:eastAsia="Arial" w:hAnsi="Arial"/>
          <w:sz w:val="20"/>
          <w:szCs w:val="20"/>
          <w:color w:val="auto"/>
          <w:vertAlign w:val="subscript"/>
        </w:rPr>
        <w:t>6</w:t>
      </w:r>
      <w:r>
        <w:rPr>
          <w:rFonts w:ascii="Arial" w:cs="Arial" w:eastAsia="Arial" w:hAnsi="Arial"/>
          <w:sz w:val="16"/>
          <w:szCs w:val="16"/>
          <w:color w:val="auto"/>
        </w:rPr>
        <w:t>G-PMO in our NHP head-to-head study. Sarepta have also indicated that the protocol for their pivotal trial for SRP-5051 will include magnesium supplementation. Collectively, we believe that these results, including the exon skipping data described above, support that PGN-EDO51 has a potential therapeutic index that is considerably wider than that of R</w:t>
      </w:r>
      <w:r>
        <w:rPr>
          <w:rFonts w:ascii="Arial" w:cs="Arial" w:eastAsia="Arial" w:hAnsi="Arial"/>
          <w:sz w:val="20"/>
          <w:szCs w:val="20"/>
          <w:color w:val="auto"/>
          <w:vertAlign w:val="subscript"/>
        </w:rPr>
        <w:t>6</w:t>
      </w:r>
      <w:r>
        <w:rPr>
          <w:rFonts w:ascii="Arial" w:cs="Arial" w:eastAsia="Arial" w:hAnsi="Arial"/>
          <w:sz w:val="16"/>
          <w:szCs w:val="16"/>
          <w:color w:val="auto"/>
        </w:rPr>
        <w:t>G-PMO in NHPs. Our lead product candidate has exhibited greater activity at the same dose level in NHPs, and was more tolerable at the same activity level when compared to this competing CPP-PMO approach.</w:t>
      </w:r>
    </w:p>
    <w:p>
      <w:pPr>
        <w:spacing w:after="0" w:line="127"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At doses above the therapeutic dose range, moderate, transient and reversible elevations in serum urea and creatinine were observed. These elevations were only observed after the first dose in the aforementioned repeat dose study in NHP. No dose-related increases above control levels were observed in serum levels of aspartate aminotransferase, alanine aminotransferase, alkaline phosphatase, gamma-glutamyl transferase, bilirubin, glucose, cholesterol, triglycerides, total protein, albumin, globulin, calcium, sodium, potassium, chloride, or phosphate.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102235</wp:posOffset>
            </wp:positionV>
            <wp:extent cx="5160645" cy="25114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6064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changes in serum clinical chemistry have been observed for PGN-EDO51 at proposed therapeutic dose levels.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 cell stimulation assay conducted with peripheral blood mononuclear cells from healthy donors indicated that PGN-EDO51 has a very low immunotoxicity risk. This is further supported by data showing PGN-EDO51 pharmacokinetics were similar following the first and third dose, suggesting that no significant neutralizing anti-drug antibody response was present after three doses in NHP.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1"/>
              </w:rPr>
              <w:t>Dose</w:t>
            </w:r>
          </w:p>
        </w:tc>
        <w:tc>
          <w:tcPr>
            <w:tcW w:w="5960" w:type="dxa"/>
            <w:vAlign w:val="bottom"/>
          </w:tcPr>
          <w:p>
            <w:pPr>
              <w:spacing w:after="0"/>
              <w:rPr>
                <w:sz w:val="21"/>
                <w:szCs w:val="21"/>
                <w:color w:val="auto"/>
              </w:rPr>
            </w:pPr>
          </w:p>
        </w:tc>
        <w:tc>
          <w:tcPr>
            <w:tcW w:w="3100" w:type="dxa"/>
            <w:vAlign w:val="bottom"/>
            <w:gridSpan w:val="2"/>
          </w:tcPr>
          <w:p>
            <w:pPr>
              <w:jc w:val="right"/>
              <w:ind w:right="1480"/>
              <w:spacing w:after="0"/>
              <w:rPr>
                <w:sz w:val="20"/>
                <w:szCs w:val="20"/>
                <w:color w:val="auto"/>
              </w:rPr>
            </w:pPr>
            <w:r>
              <w:rPr>
                <w:rFonts w:ascii="Arial" w:cs="Arial" w:eastAsia="Arial" w:hAnsi="Arial"/>
                <w:sz w:val="18"/>
                <w:szCs w:val="18"/>
                <w:b w:val="1"/>
                <w:bCs w:val="1"/>
                <w:color w:val="auto"/>
                <w:w w:val="86"/>
              </w:rPr>
              <w:t>T1/2 post 1</w:t>
            </w:r>
            <w:r>
              <w:rPr>
                <w:rFonts w:ascii="Arial" w:cs="Arial" w:eastAsia="Arial" w:hAnsi="Arial"/>
                <w:sz w:val="11"/>
                <w:szCs w:val="11"/>
                <w:b w:val="1"/>
                <w:bCs w:val="1"/>
                <w:color w:val="auto"/>
                <w:w w:val="86"/>
              </w:rPr>
              <w:t>st</w:t>
            </w:r>
            <w:r>
              <w:rPr>
                <w:rFonts w:ascii="Arial" w:cs="Arial" w:eastAsia="Arial" w:hAnsi="Arial"/>
                <w:sz w:val="18"/>
                <w:szCs w:val="18"/>
                <w:b w:val="1"/>
                <w:bCs w:val="1"/>
                <w:color w:val="auto"/>
                <w:w w:val="86"/>
              </w:rPr>
              <w:t xml:space="preserve"> dose (hr)</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T1/2 post 3</w:t>
            </w:r>
            <w:r>
              <w:rPr>
                <w:rFonts w:ascii="Arial" w:cs="Arial" w:eastAsia="Arial" w:hAnsi="Arial"/>
                <w:sz w:val="11"/>
                <w:szCs w:val="11"/>
                <w:b w:val="1"/>
                <w:bCs w:val="1"/>
                <w:color w:val="auto"/>
                <w:w w:val="87"/>
              </w:rPr>
              <w:t>rd</w:t>
            </w:r>
            <w:r>
              <w:rPr>
                <w:rFonts w:ascii="Arial" w:cs="Arial" w:eastAsia="Arial" w:hAnsi="Arial"/>
                <w:sz w:val="18"/>
                <w:szCs w:val="18"/>
                <w:b w:val="1"/>
                <w:bCs w:val="1"/>
                <w:color w:val="auto"/>
                <w:w w:val="87"/>
              </w:rPr>
              <w:t xml:space="preserve"> dose (hr)</w:t>
            </w:r>
          </w:p>
        </w:tc>
      </w:tr>
      <w:tr>
        <w:trPr>
          <w:trHeight w:val="203"/>
        </w:trPr>
        <w:tc>
          <w:tcPr>
            <w:tcW w:w="63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5 mg/kg</w:t>
            </w:r>
          </w:p>
        </w:tc>
        <w:tc>
          <w:tcPr>
            <w:tcW w:w="1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4.20</w:t>
            </w:r>
          </w:p>
        </w:tc>
        <w:tc>
          <w:tcPr>
            <w:tcW w:w="146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10 mg/kg</w:t>
            </w:r>
          </w:p>
        </w:tc>
        <w:tc>
          <w:tcPr>
            <w:tcW w:w="3100" w:type="dxa"/>
            <w:vAlign w:val="bottom"/>
            <w:gridSpan w:val="2"/>
          </w:tcPr>
          <w:p>
            <w:pPr>
              <w:jc w:val="right"/>
              <w:ind w:right="1460"/>
              <w:spacing w:after="0"/>
              <w:rPr>
                <w:sz w:val="20"/>
                <w:szCs w:val="20"/>
                <w:color w:val="auto"/>
              </w:rPr>
            </w:pPr>
            <w:r>
              <w:rPr>
                <w:rFonts w:ascii="Arial" w:cs="Arial" w:eastAsia="Arial" w:hAnsi="Arial"/>
                <w:sz w:val="18"/>
                <w:szCs w:val="18"/>
                <w:color w:val="auto"/>
              </w:rPr>
              <w:t>3.61</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NC*</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mg/kg</w:t>
            </w:r>
          </w:p>
        </w:tc>
        <w:tc>
          <w:tcPr>
            <w:tcW w:w="3100" w:type="dxa"/>
            <w:vAlign w:val="bottom"/>
            <w:gridSpan w:val="2"/>
            <w:shd w:val="clear" w:color="auto" w:fill="CCEEFF"/>
          </w:tcPr>
          <w:p>
            <w:pPr>
              <w:jc w:val="right"/>
              <w:ind w:right="1460"/>
              <w:spacing w:after="0"/>
              <w:rPr>
                <w:sz w:val="20"/>
                <w:szCs w:val="20"/>
                <w:color w:val="auto"/>
              </w:rPr>
            </w:pPr>
            <w:r>
              <w:rPr>
                <w:rFonts w:ascii="Arial" w:cs="Arial" w:eastAsia="Arial" w:hAnsi="Arial"/>
                <w:sz w:val="18"/>
                <w:szCs w:val="18"/>
                <w:color w:val="auto"/>
              </w:rPr>
              <w:t>3.32</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r>
      <w:tr>
        <w:trPr>
          <w:trHeight w:val="222"/>
        </w:trPr>
        <w:tc>
          <w:tcPr>
            <w:tcW w:w="6340" w:type="dxa"/>
            <w:vAlign w:val="bottom"/>
            <w:gridSpan w:val="2"/>
          </w:tcPr>
          <w:p>
            <w:pPr>
              <w:spacing w:after="0"/>
              <w:rPr>
                <w:sz w:val="20"/>
                <w:szCs w:val="20"/>
                <w:color w:val="auto"/>
              </w:rPr>
            </w:pPr>
            <w:r>
              <w:rPr>
                <w:rFonts w:ascii="Arial" w:cs="Arial" w:eastAsia="Arial" w:hAnsi="Arial"/>
                <w:sz w:val="18"/>
                <w:szCs w:val="18"/>
                <w:color w:val="auto"/>
              </w:rPr>
              <w:t>60 mg/kg</w:t>
            </w:r>
          </w:p>
        </w:tc>
        <w:tc>
          <w:tcPr>
            <w:tcW w:w="3100" w:type="dxa"/>
            <w:vAlign w:val="bottom"/>
            <w:gridSpan w:val="2"/>
          </w:tcPr>
          <w:p>
            <w:pPr>
              <w:jc w:val="right"/>
              <w:ind w:right="1460"/>
              <w:spacing w:after="0"/>
              <w:rPr>
                <w:sz w:val="20"/>
                <w:szCs w:val="20"/>
                <w:color w:val="auto"/>
              </w:rPr>
            </w:pPr>
            <w:r>
              <w:rPr>
                <w:rFonts w:ascii="Arial" w:cs="Arial" w:eastAsia="Arial" w:hAnsi="Arial"/>
                <w:sz w:val="18"/>
                <w:szCs w:val="18"/>
                <w:color w:val="auto"/>
              </w:rPr>
              <w:t>4.41</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886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1" w:lineRule="exact"/>
        <w:rPr>
          <w:sz w:val="20"/>
          <w:szCs w:val="20"/>
          <w:color w:val="auto"/>
        </w:rPr>
      </w:pPr>
    </w:p>
    <w:p>
      <w:pPr>
        <w:ind w:left="440" w:hanging="432"/>
        <w:spacing w:after="0"/>
        <w:tabs>
          <w:tab w:leader="none" w:pos="440" w:val="left"/>
        </w:tabs>
        <w:numPr>
          <w:ilvl w:val="0"/>
          <w:numId w:val="95"/>
        </w:numPr>
        <w:rPr>
          <w:rFonts w:ascii="Arial" w:cs="Arial" w:eastAsia="Arial" w:hAnsi="Arial"/>
          <w:sz w:val="13"/>
          <w:szCs w:val="13"/>
          <w:color w:val="auto"/>
        </w:rPr>
      </w:pPr>
      <w:r>
        <w:rPr>
          <w:rFonts w:ascii="Arial" w:cs="Arial" w:eastAsia="Arial" w:hAnsi="Arial"/>
          <w:sz w:val="13"/>
          <w:szCs w:val="13"/>
          <w:color w:val="auto"/>
        </w:rPr>
        <w:t>NC = not calculated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plasma half-life of the PMO cargo was similar following the first and third dose of PGN-EDO51 in NHP study.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Our clinical path</w:t>
      </w:r>
    </w:p>
    <w:p>
      <w:pPr>
        <w:spacing w:after="0" w:line="90"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To date, there have been a number of clinical trials conducted with exon 51-skipping therapeutics for the treatment of DMD. Based on these learnings, and on the extensive expertise of our clinical team and scientific advisory board, we have designed an efficient clinical path to evaluate the safety and efficacy of PGN-EDO51 in humans. We anticipate conducting the following studies, subject to regulatory feedback and clearance to proceed to clinical trials:</w:t>
      </w:r>
    </w:p>
    <w:p>
      <w:pPr>
        <w:spacing w:after="0" w:line="100" w:lineRule="exact"/>
        <w:rPr>
          <w:sz w:val="20"/>
          <w:szCs w:val="20"/>
          <w:color w:val="auto"/>
        </w:rPr>
      </w:pPr>
    </w:p>
    <w:p>
      <w:pPr>
        <w:ind w:firstLine="449"/>
        <w:spacing w:after="0" w:line="262" w:lineRule="auto"/>
        <w:rPr>
          <w:sz w:val="20"/>
          <w:szCs w:val="20"/>
          <w:color w:val="auto"/>
        </w:rPr>
      </w:pPr>
      <w:r>
        <w:rPr>
          <w:rFonts w:ascii="Arial" w:cs="Arial" w:eastAsia="Arial" w:hAnsi="Arial"/>
          <w:sz w:val="18"/>
          <w:szCs w:val="18"/>
          <w:b w:val="1"/>
          <w:bCs w:val="1"/>
          <w:color w:val="auto"/>
        </w:rPr>
        <w:t xml:space="preserve">Phase 1 study: </w:t>
      </w:r>
      <w:r>
        <w:rPr>
          <w:rFonts w:ascii="Arial" w:cs="Arial" w:eastAsia="Arial" w:hAnsi="Arial"/>
          <w:sz w:val="18"/>
          <w:szCs w:val="18"/>
          <w:color w:val="auto"/>
        </w:rPr>
        <w:t>This will be a first-in-human, Phase 1, single-center, randomized, double-blind, placebo-controlled, single ascending dose study to assess</w:t>
      </w:r>
      <w:r>
        <w:rPr>
          <w:rFonts w:ascii="Arial" w:cs="Arial" w:eastAsia="Arial" w:hAnsi="Arial"/>
          <w:sz w:val="18"/>
          <w:szCs w:val="18"/>
          <w:b w:val="1"/>
          <w:bCs w:val="1"/>
          <w:color w:val="auto"/>
        </w:rPr>
        <w:t xml:space="preserve"> </w:t>
      </w:r>
      <w:r>
        <w:rPr>
          <w:rFonts w:ascii="Arial" w:cs="Arial" w:eastAsia="Arial" w:hAnsi="Arial"/>
          <w:sz w:val="18"/>
          <w:szCs w:val="18"/>
          <w:color w:val="auto"/>
        </w:rPr>
        <w:t>the safety, tolerability, pharmacokinetics, and pharmacodynamics of PGN-EDO51 administered intravenously to healthy normal volunteer, or HNV, adult males.</w:t>
      </w:r>
    </w:p>
    <w:p>
      <w:pPr>
        <w:spacing w:after="0" w:line="138" w:lineRule="exact"/>
        <w:rPr>
          <w:sz w:val="20"/>
          <w:szCs w:val="20"/>
          <w:color w:val="auto"/>
        </w:rPr>
      </w:pPr>
    </w:p>
    <w:p>
      <w:pPr>
        <w:ind w:right="20" w:firstLine="449"/>
        <w:spacing w:after="0" w:line="302" w:lineRule="auto"/>
        <w:rPr>
          <w:sz w:val="20"/>
          <w:szCs w:val="20"/>
          <w:color w:val="auto"/>
        </w:rPr>
      </w:pPr>
      <w:r>
        <w:rPr>
          <w:rFonts w:ascii="Arial" w:cs="Arial" w:eastAsia="Arial" w:hAnsi="Arial"/>
          <w:sz w:val="15"/>
          <w:szCs w:val="15"/>
          <w:color w:val="auto"/>
        </w:rPr>
        <w:t>The primary objective of this study will be to assess the safety and tolerability of PGN-EDO51. We will also assess the pharmacokinetics and pharmacodynamics of our product candidate as secondary and exploratory objectives respectively. The latter endpoint will be focused on exon 51 skipping efficacy, which will be measured by both reverse transcriptase PCR, or RT-PCR, and droplet digital PCR, or ddPCR, assays conducted on muscle biopsy tissue taken from the biceps brachii. Our HNV study will be conducted at a single site, and we intend to submit a CTA to request authorization to initiate this study in</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p>
    <w:p>
      <w:pPr>
        <w:spacing w:after="0" w:line="159" w:lineRule="exact"/>
        <w:rPr>
          <w:sz w:val="20"/>
          <w:szCs w:val="20"/>
          <w:color w:val="auto"/>
        </w:rPr>
      </w:pPr>
    </w:p>
    <w:p>
      <w:pPr>
        <w:ind w:right="140" w:firstLine="449"/>
        <w:spacing w:after="0" w:line="258" w:lineRule="auto"/>
        <w:rPr>
          <w:sz w:val="20"/>
          <w:szCs w:val="20"/>
          <w:color w:val="auto"/>
        </w:rPr>
      </w:pPr>
      <w:r>
        <w:rPr>
          <w:rFonts w:ascii="Arial" w:cs="Arial" w:eastAsia="Arial" w:hAnsi="Arial"/>
          <w:sz w:val="18"/>
          <w:szCs w:val="18"/>
          <w:b w:val="1"/>
          <w:bCs w:val="1"/>
          <w:color w:val="auto"/>
        </w:rPr>
        <w:t>Patient clinical studies</w:t>
      </w:r>
      <w:r>
        <w:rPr>
          <w:rFonts w:ascii="Arial" w:cs="Arial" w:eastAsia="Arial" w:hAnsi="Arial"/>
          <w:sz w:val="18"/>
          <w:szCs w:val="18"/>
          <w:color w:val="auto"/>
        </w:rPr>
        <w:t>: Following our HNV study, we will seek to assess the safety, tolerability and efficacy of PGN-EDO51 in DMD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amenable to an exon 51 approach in Phase 2 clinical trials, beginning with a multiple ascending dose study. We anticipate that these studies will be conducted in a number of geographies, including the United States, and have received initial, positive feedback on our clinical path from the FDA via a pre-IND written response.</w:t>
      </w:r>
    </w:p>
    <w:p>
      <w:pPr>
        <w:spacing w:after="0" w:line="14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this clinical path may enable us to seek Accelerated Approval of PGN-EDO51 with the FDA. A product candidate may be eligible for Accelerated Approval if it treats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If we receive positive results from our Phase 2 trials, we believe our potential application to this expedited regulatory pathway would be supported by data generated in these trials, namely: an acceptable safety and tolerability profile; a clinically-meaningful increase in dystrophin levels, a surrogate marker, in the biceps of DMD patients; and robust exon skipping levels in the same tissue.</w:t>
      </w:r>
    </w:p>
    <w:p>
      <w:pPr>
        <w:spacing w:after="0" w:line="118" w:lineRule="exact"/>
        <w:rPr>
          <w:sz w:val="20"/>
          <w:szCs w:val="20"/>
          <w:color w:val="auto"/>
        </w:rPr>
      </w:pPr>
    </w:p>
    <w:p>
      <w:pPr>
        <w:ind w:right="180" w:firstLine="449"/>
        <w:spacing w:after="0" w:line="306" w:lineRule="auto"/>
        <w:rPr>
          <w:sz w:val="20"/>
          <w:szCs w:val="20"/>
          <w:color w:val="auto"/>
        </w:rPr>
      </w:pPr>
      <w:r>
        <w:rPr>
          <w:rFonts w:ascii="Arial" w:cs="Arial" w:eastAsia="Arial" w:hAnsi="Arial"/>
          <w:sz w:val="16"/>
          <w:szCs w:val="16"/>
          <w:color w:val="auto"/>
        </w:rPr>
        <w:t>The accelerated approval of DMD drugs based on an increase of dystrophin production has significant precedent at FDA, with four such approvals granted on this basis since 2016. Based on these regulatory precedents in DMD, if we are able to demonstrate increased dystrophin production in our Phase 2 trials of PGN-EDO51, we intend to seek Accelerated Approval from FDA using dystrophin as a surrogate endpoint.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 drugs have received Accelerated Approval in DMD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66040</wp:posOffset>
            </wp:positionV>
            <wp:extent cx="5186045" cy="16459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PGN-EDODM1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40" w:firstLine="449"/>
        <w:spacing w:after="0" w:line="302" w:lineRule="auto"/>
        <w:rPr>
          <w:sz w:val="20"/>
          <w:szCs w:val="20"/>
          <w:color w:val="auto"/>
        </w:rPr>
      </w:pPr>
      <w:r>
        <w:rPr>
          <w:rFonts w:ascii="Arial" w:cs="Arial" w:eastAsia="Arial" w:hAnsi="Arial"/>
          <w:sz w:val="15"/>
          <w:szCs w:val="15"/>
          <w:color w:val="auto"/>
        </w:rPr>
        <w:t xml:space="preserve">We are developing PGN-EDODM1, an EDO peptide-conjugated PMO, for the treatment of DM1 a debilitating genetic disease with no approved therapies. Utilizing our EDO technology platform, PGN-EDODM1 is designed to deliver a PMO into muscle cells that binds to the CUG repeat expansion present in the </w:t>
      </w:r>
      <w:r>
        <w:rPr>
          <w:rFonts w:ascii="Arial" w:cs="Arial" w:eastAsia="Arial" w:hAnsi="Arial"/>
          <w:sz w:val="15"/>
          <w:szCs w:val="15"/>
          <w:i w:val="1"/>
          <w:iCs w:val="1"/>
          <w:color w:val="auto"/>
        </w:rPr>
        <w:t>DMPK</w:t>
      </w:r>
      <w:r>
        <w:rPr>
          <w:rFonts w:ascii="Arial" w:cs="Arial" w:eastAsia="Arial" w:hAnsi="Arial"/>
          <w:sz w:val="15"/>
          <w:szCs w:val="15"/>
          <w:color w:val="auto"/>
        </w:rPr>
        <w:t xml:space="preserve"> mRNA, thus reducing the ability of these trinucleotide repeats to sequester MBNL1, a critical RNA processing protein. This steric blocking mechanism directly addresses the underlying genetic defect in DM1, and we have demonstrated that a single dose of PGN-EDODM1 corrected the</w:t>
      </w:r>
    </w:p>
    <w:p>
      <w:pPr>
        <w:spacing w:after="0" w:line="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molecular and functional phenotypes presented in the HSA</w:t>
      </w:r>
      <w:r>
        <w:rPr>
          <w:rFonts w:ascii="Arial" w:cs="Arial" w:eastAsia="Arial" w:hAnsi="Arial"/>
          <w:sz w:val="11"/>
          <w:szCs w:val="11"/>
          <w:color w:val="auto"/>
        </w:rPr>
        <w:t>LR</w:t>
      </w:r>
      <w:r>
        <w:rPr>
          <w:rFonts w:ascii="Arial" w:cs="Arial" w:eastAsia="Arial" w:hAnsi="Arial"/>
          <w:sz w:val="18"/>
          <w:szCs w:val="18"/>
          <w:color w:val="auto"/>
        </w:rPr>
        <w:t xml:space="preserve"> mouse model of disease. We anticipate submitting an IND for PGN-EDODM1 in to initiate a Phase 1 study.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 and prevalence</w:t>
      </w:r>
    </w:p>
    <w:p>
      <w:pPr>
        <w:spacing w:after="0" w:line="90"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 xml:space="preserve">DM1 is a monogenic, autosomal dominant, progressive disorder that primarily affects skeletal, cardiac and smooth muscles, with CNS symptoms also being evident. Globally, the prevalence of DM1 is estimated to be in the range from 1 in 3,000 to 1 in 8,000 people, with approximately 40,000 patients in the US and over 74,000 patients in Europe. However, under- and misdiagnosis is believed to be widespread, and genetic screening studies for </w:t>
      </w:r>
      <w:r>
        <w:rPr>
          <w:rFonts w:ascii="Arial" w:cs="Arial" w:eastAsia="Arial" w:hAnsi="Arial"/>
          <w:sz w:val="18"/>
          <w:szCs w:val="18"/>
          <w:i w:val="1"/>
          <w:iCs w:val="1"/>
          <w:color w:val="auto"/>
        </w:rPr>
        <w:t>DMPK</w:t>
      </w:r>
      <w:r>
        <w:rPr>
          <w:rFonts w:ascii="Arial" w:cs="Arial" w:eastAsia="Arial" w:hAnsi="Arial"/>
          <w:sz w:val="18"/>
          <w:szCs w:val="18"/>
          <w:color w:val="auto"/>
        </w:rPr>
        <w:t xml:space="preserve"> triplet repeats have suggested that this rate may be as high as 1 in 2,500 people.</w:t>
      </w:r>
    </w:p>
    <w:p>
      <w:pPr>
        <w:spacing w:after="0" w:line="143" w:lineRule="exact"/>
        <w:rPr>
          <w:sz w:val="20"/>
          <w:szCs w:val="20"/>
          <w:color w:val="auto"/>
        </w:rPr>
      </w:pPr>
    </w:p>
    <w:p>
      <w:pPr>
        <w:ind w:right="240" w:firstLine="449"/>
        <w:spacing w:after="0" w:line="256" w:lineRule="auto"/>
        <w:rPr>
          <w:sz w:val="20"/>
          <w:szCs w:val="20"/>
          <w:color w:val="auto"/>
        </w:rPr>
      </w:pPr>
      <w:r>
        <w:rPr>
          <w:rFonts w:ascii="Arial" w:cs="Arial" w:eastAsia="Arial" w:hAnsi="Arial"/>
          <w:sz w:val="18"/>
          <w:szCs w:val="18"/>
          <w:color w:val="auto"/>
        </w:rPr>
        <w:t>DM1 patients can suffer from various manifestations of the disease including myotonia, or a temporary rigidity due to the inability to relax muscles; muscle weakness; cardiac abnormalities; respiratory problems; fatigue; cardiac pathologies; gastrointestinal complications; early cataracts and cognitive and behavioral impairments. For patients with more severe forms of DM1, life expectancy is reduced due to increased mortality resulting from pulmonary and cardiac complications.</w:t>
      </w:r>
    </w:p>
    <w:p>
      <w:pPr>
        <w:spacing w:after="0" w:line="143"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 xml:space="preserve">The broad spectrum of pathologies associated with DM1 arise due to genetic changes in the myotonic dystrophy protein kinase, or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Specifically, DM1 is caused by an expansion in the number of CTG triplet repeats that are present in the non-coding region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and following transcription this mutant </w:t>
      </w:r>
      <w:r>
        <w:rPr>
          <w:rFonts w:ascii="Arial" w:cs="Arial" w:eastAsia="Arial" w:hAnsi="Arial"/>
          <w:sz w:val="16"/>
          <w:szCs w:val="16"/>
          <w:i w:val="1"/>
          <w:iCs w:val="1"/>
          <w:color w:val="auto"/>
        </w:rPr>
        <w:t>DMPK</w:t>
      </w:r>
      <w:r>
        <w:rPr>
          <w:rFonts w:ascii="Arial" w:cs="Arial" w:eastAsia="Arial" w:hAnsi="Arial"/>
          <w:sz w:val="16"/>
          <w:szCs w:val="16"/>
          <w:color w:val="auto"/>
        </w:rPr>
        <w:t xml:space="preserve"> gene yields an mRNA product with an expanded CUG repeat region. Healthy, asymptomatic individuals possess between 5 and 37 such repeats, but in DM1 patients the number of repeats can be in the thousands. These highly repetitive sequences form stable hairpin structures in the nucleus of cells and sequester critical RNA splicing proteins, such as MBNL1. The sequestration of MBNL1 prevents this key protein from performing its normal function of processing RNA molecules before they are exported from the nucleus, leading to downstream mis-splicing events in a number of other transcripts. These mis-splicing events result in the dysregulation of a broad set of downstream proteins, which in turn result in the multi-systemic pathologies that are associated with DM1.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120" w:firstLine="449"/>
        <w:spacing w:after="0" w:line="254" w:lineRule="auto"/>
        <w:rPr>
          <w:sz w:val="20"/>
          <w:szCs w:val="20"/>
          <w:color w:val="auto"/>
        </w:rPr>
      </w:pPr>
      <w:r>
        <w:rPr>
          <w:rFonts w:ascii="Arial" w:cs="Arial" w:eastAsia="Arial" w:hAnsi="Arial"/>
          <w:sz w:val="18"/>
          <w:szCs w:val="18"/>
          <w:color w:val="auto"/>
        </w:rPr>
        <w:t xml:space="preserve">There is a general correlation between the number of CTG repeats in </w:t>
      </w:r>
      <w:r>
        <w:rPr>
          <w:rFonts w:ascii="Arial" w:cs="Arial" w:eastAsia="Arial" w:hAnsi="Arial"/>
          <w:sz w:val="18"/>
          <w:szCs w:val="18"/>
          <w:i w:val="1"/>
          <w:iCs w:val="1"/>
          <w:color w:val="auto"/>
        </w:rPr>
        <w:t>DPMK</w:t>
      </w:r>
      <w:r>
        <w:rPr>
          <w:rFonts w:ascii="Arial" w:cs="Arial" w:eastAsia="Arial" w:hAnsi="Arial"/>
          <w:sz w:val="18"/>
          <w:szCs w:val="18"/>
          <w:color w:val="auto"/>
        </w:rPr>
        <w:t xml:space="preserve"> and the severity of disease: Individuals with 50 to 150 repeats are prone to development of mild myotonia and cataracts, but typically have a normal lifespan. Individuals with up to approximately 1,000 repeats have muscle weakness and cardiac arrhythmia leading to an average lifespan of 48 years to 55 years. The most serious cases of DM1 are generally observed in individuals with more than 1,000 repeats, and these patients are likely to also suffer from respiratory defects and intellectual disability, with a shortened lifespan of approximately 45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Patients are broadly categorized into four populations based on the age of onset: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600" w:type="dxa"/>
            <w:vAlign w:val="bottom"/>
            <w:tcBorders>
              <w:top w:val="single" w:sz="8" w:color="auto"/>
              <w:left w:val="single" w:sz="8" w:color="auto"/>
              <w:right w:val="single" w:sz="8" w:color="auto"/>
            </w:tcBorders>
          </w:tcPr>
          <w:p>
            <w:pPr>
              <w:spacing w:after="0"/>
              <w:rPr>
                <w:sz w:val="18"/>
                <w:szCs w:val="18"/>
                <w:color w:val="auto"/>
              </w:rPr>
            </w:pPr>
          </w:p>
        </w:tc>
        <w:tc>
          <w:tcPr>
            <w:tcW w:w="392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rPr>
              <w:t>% OF DM1</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b w:val="1"/>
                <w:bCs w:val="1"/>
                <w:color w:val="auto"/>
                <w:w w:val="95"/>
              </w:rPr>
              <w:t>AGE OF</w:t>
            </w:r>
          </w:p>
        </w:tc>
        <w:tc>
          <w:tcPr>
            <w:tcW w:w="174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b w:val="1"/>
                <w:bCs w:val="1"/>
                <w:color w:val="auto"/>
                <w:w w:val="98"/>
              </w:rPr>
              <w:t>CTG REPEAT</w:t>
            </w:r>
          </w:p>
        </w:tc>
        <w:tc>
          <w:tcPr>
            <w:tcW w:w="1780" w:type="dxa"/>
            <w:vAlign w:val="bottom"/>
            <w:tcBorders>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w w:val="94"/>
              </w:rPr>
              <w:t>PATIENTS</w:t>
            </w:r>
          </w:p>
        </w:tc>
        <w:tc>
          <w:tcPr>
            <w:tcW w:w="0" w:type="dxa"/>
            <w:vAlign w:val="bottom"/>
          </w:tcPr>
          <w:p>
            <w:pPr>
              <w:spacing w:after="0"/>
              <w:rPr>
                <w:sz w:val="1"/>
                <w:szCs w:val="1"/>
                <w:color w:val="auto"/>
              </w:rPr>
            </w:pPr>
          </w:p>
        </w:tc>
      </w:tr>
      <w:tr>
        <w:trPr>
          <w:trHeight w:val="229"/>
        </w:trPr>
        <w:tc>
          <w:tcPr>
            <w:tcW w:w="2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PHENOTYPE</w:t>
            </w:r>
          </w:p>
        </w:tc>
        <w:tc>
          <w:tcPr>
            <w:tcW w:w="3920" w:type="dxa"/>
            <w:vAlign w:val="bottom"/>
            <w:tcBorders>
              <w:bottom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rPr>
              <w:t>CLINICAL SIGNS</w:t>
            </w:r>
          </w:p>
        </w:tc>
        <w:tc>
          <w:tcPr>
            <w:tcW w:w="1220" w:type="dxa"/>
            <w:vAlign w:val="bottom"/>
            <w:tcBorders>
              <w:bottom w:val="single" w:sz="8" w:color="auto"/>
              <w:right w:val="single" w:sz="8" w:color="auto"/>
            </w:tcBorders>
          </w:tcPr>
          <w:p>
            <w:pPr>
              <w:jc w:val="center"/>
              <w:ind w:left="312"/>
              <w:spacing w:after="0"/>
              <w:rPr>
                <w:sz w:val="20"/>
                <w:szCs w:val="20"/>
                <w:color w:val="auto"/>
              </w:rPr>
            </w:pPr>
            <w:r>
              <w:rPr>
                <w:rFonts w:ascii="Arial" w:cs="Arial" w:eastAsia="Arial" w:hAnsi="Arial"/>
                <w:sz w:val="18"/>
                <w:szCs w:val="18"/>
                <w:b w:val="1"/>
                <w:bCs w:val="1"/>
                <w:color w:val="auto"/>
                <w:w w:val="93"/>
              </w:rPr>
              <w:t>ONSET</w:t>
            </w:r>
          </w:p>
        </w:tc>
        <w:tc>
          <w:tcPr>
            <w:tcW w:w="1740" w:type="dxa"/>
            <w:vAlign w:val="bottom"/>
            <w:tcBorders>
              <w:bottom w:val="single" w:sz="8" w:color="auto"/>
              <w:right w:val="single" w:sz="8" w:color="auto"/>
            </w:tcBorders>
          </w:tcPr>
          <w:p>
            <w:pPr>
              <w:jc w:val="center"/>
              <w:ind w:left="312"/>
              <w:spacing w:after="0"/>
              <w:rPr>
                <w:sz w:val="20"/>
                <w:szCs w:val="20"/>
                <w:color w:val="auto"/>
              </w:rPr>
            </w:pPr>
            <w:r>
              <w:rPr>
                <w:rFonts w:ascii="Arial" w:cs="Arial" w:eastAsia="Arial" w:hAnsi="Arial"/>
                <w:sz w:val="18"/>
                <w:szCs w:val="18"/>
                <w:b w:val="1"/>
                <w:bCs w:val="1"/>
                <w:color w:val="auto"/>
                <w:w w:val="99"/>
              </w:rPr>
              <w:t>LENGTH</w:t>
            </w:r>
          </w:p>
        </w:tc>
        <w:tc>
          <w:tcPr>
            <w:tcW w:w="1780" w:type="dxa"/>
            <w:vAlign w:val="bottom"/>
            <w:tcBorders>
              <w:bottom w:val="single" w:sz="8" w:color="auto"/>
              <w:right w:val="single" w:sz="8" w:color="auto"/>
            </w:tcBorders>
          </w:tcPr>
          <w:p>
            <w:pPr>
              <w:jc w:val="center"/>
              <w:ind w:left="212"/>
              <w:spacing w:after="0"/>
              <w:rPr>
                <w:sz w:val="20"/>
                <w:szCs w:val="20"/>
                <w:color w:val="auto"/>
              </w:rPr>
            </w:pPr>
            <w:r>
              <w:rPr>
                <w:rFonts w:ascii="Arial" w:cs="Arial" w:eastAsia="Arial" w:hAnsi="Arial"/>
                <w:sz w:val="18"/>
                <w:szCs w:val="18"/>
                <w:b w:val="1"/>
                <w:bCs w:val="1"/>
                <w:color w:val="auto"/>
              </w:rPr>
              <w:t>(ESTIMATE)</w:t>
            </w:r>
          </w:p>
        </w:tc>
        <w:tc>
          <w:tcPr>
            <w:tcW w:w="0" w:type="dxa"/>
            <w:vAlign w:val="bottom"/>
          </w:tcPr>
          <w:p>
            <w:pPr>
              <w:spacing w:after="0"/>
              <w:rPr>
                <w:sz w:val="1"/>
                <w:szCs w:val="1"/>
                <w:color w:val="auto"/>
              </w:rPr>
            </w:pPr>
          </w:p>
        </w:tc>
      </w:tr>
      <w:tr>
        <w:trPr>
          <w:trHeight w:val="202"/>
        </w:trPr>
        <w:tc>
          <w:tcPr>
            <w:tcW w:w="2600" w:type="dxa"/>
            <w:vAlign w:val="bottom"/>
            <w:tcBorders>
              <w:left w:val="single" w:sz="8" w:color="auto"/>
              <w:right w:val="single" w:sz="8" w:color="auto"/>
            </w:tcBorders>
          </w:tcPr>
          <w:p>
            <w:pPr>
              <w:spacing w:after="0"/>
              <w:rPr>
                <w:sz w:val="17"/>
                <w:szCs w:val="17"/>
                <w:color w:val="auto"/>
              </w:rPr>
            </w:pPr>
          </w:p>
        </w:tc>
        <w:tc>
          <w:tcPr>
            <w:tcW w:w="392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Mild to severe neonatal symptoms, including</w:t>
            </w:r>
          </w:p>
        </w:tc>
        <w:tc>
          <w:tcPr>
            <w:tcW w:w="122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CONGENITAL</w:t>
            </w: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hypotonia, respiratory distress, sucking or</w:t>
            </w:r>
          </w:p>
        </w:tc>
        <w:tc>
          <w:tcPr>
            <w:tcW w:w="12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vMerge w:val="continue"/>
          </w:tcPr>
          <w:p>
            <w:pPr>
              <w:spacing w:after="0"/>
              <w:rPr>
                <w:sz w:val="18"/>
                <w:szCs w:val="18"/>
                <w:color w:val="auto"/>
              </w:rPr>
            </w:pP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swallowing difficulties, or skeletal deformities</w:t>
            </w:r>
          </w:p>
        </w:tc>
        <w:tc>
          <w:tcPr>
            <w:tcW w:w="1220" w:type="dxa"/>
            <w:vAlign w:val="bottom"/>
            <w:tcBorders>
              <w:right w:val="single" w:sz="8" w:color="auto"/>
            </w:tcBorders>
          </w:tcPr>
          <w:p>
            <w:pPr>
              <w:jc w:val="center"/>
              <w:ind w:left="332"/>
              <w:spacing w:after="0"/>
              <w:rPr>
                <w:sz w:val="20"/>
                <w:szCs w:val="20"/>
                <w:color w:val="auto"/>
              </w:rPr>
            </w:pPr>
            <w:r>
              <w:rPr>
                <w:rFonts w:ascii="Arial" w:cs="Arial" w:eastAsia="Arial" w:hAnsi="Arial"/>
                <w:sz w:val="18"/>
                <w:szCs w:val="18"/>
                <w:color w:val="auto"/>
                <w:w w:val="97"/>
              </w:rPr>
              <w:t>Birth</w:t>
            </w:r>
          </w:p>
        </w:tc>
        <w:tc>
          <w:tcPr>
            <w:tcW w:w="174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89"/>
              </w:rPr>
              <w:t>&gt;1,000</w:t>
            </w:r>
          </w:p>
        </w:tc>
        <w:tc>
          <w:tcPr>
            <w:tcW w:w="178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spacing w:after="0"/>
              <w:rPr>
                <w:sz w:val="18"/>
                <w:szCs w:val="18"/>
                <w:color w:val="auto"/>
              </w:rPr>
            </w:pP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detected at birth or during the first month of life,</w:t>
            </w:r>
          </w:p>
        </w:tc>
        <w:tc>
          <w:tcPr>
            <w:tcW w:w="12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cognitive impairments</w:t>
            </w:r>
          </w:p>
        </w:tc>
        <w:tc>
          <w:tcPr>
            <w:tcW w:w="122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00" w:type="dxa"/>
            <w:vAlign w:val="bottom"/>
            <w:tcBorders>
              <w:left w:val="single" w:sz="8" w:color="auto"/>
              <w:right w:val="single" w:sz="8" w:color="auto"/>
            </w:tcBorders>
          </w:tcPr>
          <w:p>
            <w:pPr>
              <w:spacing w:after="0"/>
              <w:rPr>
                <w:sz w:val="22"/>
                <w:szCs w:val="22"/>
                <w:color w:val="auto"/>
              </w:rPr>
            </w:pP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Dysphagia, facial dysmorphism, cardiac</w:t>
            </w:r>
          </w:p>
        </w:tc>
        <w:tc>
          <w:tcPr>
            <w:tcW w:w="122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INFANTILE</w:t>
            </w: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conduction defects, cataracts and muscle</w:t>
            </w:r>
          </w:p>
        </w:tc>
        <w:tc>
          <w:tcPr>
            <w:tcW w:w="1220" w:type="dxa"/>
            <w:vAlign w:val="bottom"/>
            <w:tcBorders>
              <w:right w:val="single" w:sz="8" w:color="auto"/>
            </w:tcBorders>
            <w:vMerge w:val="restart"/>
          </w:tcPr>
          <w:p>
            <w:pPr>
              <w:jc w:val="center"/>
              <w:ind w:left="332"/>
              <w:spacing w:after="0"/>
              <w:rPr>
                <w:sz w:val="20"/>
                <w:szCs w:val="20"/>
                <w:color w:val="auto"/>
              </w:rPr>
            </w:pPr>
            <w:r>
              <w:rPr>
                <w:rFonts w:ascii="Arial" w:cs="Arial" w:eastAsia="Arial" w:hAnsi="Arial"/>
                <w:sz w:val="18"/>
                <w:szCs w:val="18"/>
                <w:color w:val="auto"/>
                <w:w w:val="87"/>
              </w:rPr>
              <w:t>0 – 10</w:t>
            </w:r>
          </w:p>
        </w:tc>
        <w:tc>
          <w:tcPr>
            <w:tcW w:w="1740" w:type="dxa"/>
            <w:vAlign w:val="bottom"/>
            <w:tcBorders>
              <w:right w:val="single" w:sz="8" w:color="auto"/>
            </w:tcBorders>
            <w:vMerge w:val="restart"/>
          </w:tcPr>
          <w:p>
            <w:pPr>
              <w:jc w:val="center"/>
              <w:ind w:left="312"/>
              <w:spacing w:after="0"/>
              <w:rPr>
                <w:sz w:val="20"/>
                <w:szCs w:val="20"/>
                <w:color w:val="auto"/>
              </w:rPr>
            </w:pPr>
            <w:r>
              <w:rPr>
                <w:rFonts w:ascii="Arial" w:cs="Arial" w:eastAsia="Arial" w:hAnsi="Arial"/>
                <w:sz w:val="18"/>
                <w:szCs w:val="18"/>
                <w:color w:val="auto"/>
                <w:w w:val="86"/>
              </w:rPr>
              <w:t>50 – 1,000</w:t>
            </w:r>
          </w:p>
        </w:tc>
        <w:tc>
          <w:tcPr>
            <w:tcW w:w="1780" w:type="dxa"/>
            <w:vAlign w:val="bottom"/>
            <w:tcBorders>
              <w:right w:val="single" w:sz="8" w:color="auto"/>
            </w:tcBorders>
            <w:vMerge w:val="restart"/>
          </w:tcPr>
          <w:p>
            <w:pPr>
              <w:jc w:val="center"/>
              <w:ind w:left="312"/>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14"/>
        </w:trPr>
        <w:tc>
          <w:tcPr>
            <w:tcW w:w="2600" w:type="dxa"/>
            <w:vAlign w:val="bottom"/>
            <w:tcBorders>
              <w:left w:val="single" w:sz="8" w:color="auto"/>
              <w:right w:val="single" w:sz="8" w:color="auto"/>
            </w:tcBorders>
            <w:vMerge w:val="continue"/>
          </w:tcPr>
          <w:p>
            <w:pPr>
              <w:spacing w:after="0"/>
              <w:rPr>
                <w:sz w:val="9"/>
                <w:szCs w:val="9"/>
                <w:color w:val="auto"/>
              </w:rPr>
            </w:pPr>
          </w:p>
        </w:tc>
        <w:tc>
          <w:tcPr>
            <w:tcW w:w="39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involvement, such as muscle weakness and</w:t>
            </w:r>
          </w:p>
        </w:tc>
        <w:tc>
          <w:tcPr>
            <w:tcW w:w="12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00" w:type="dxa"/>
            <w:vAlign w:val="bottom"/>
            <w:tcBorders>
              <w:left w:val="single" w:sz="8" w:color="auto"/>
              <w:right w:val="single" w:sz="8" w:color="auto"/>
            </w:tcBorders>
          </w:tcPr>
          <w:p>
            <w:pPr>
              <w:spacing w:after="0"/>
              <w:rPr>
                <w:sz w:val="8"/>
                <w:szCs w:val="8"/>
                <w:color w:val="auto"/>
              </w:rPr>
            </w:pPr>
          </w:p>
        </w:tc>
        <w:tc>
          <w:tcPr>
            <w:tcW w:w="392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74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w w:val="93"/>
              </w:rPr>
              <w:t>respiratory insufficiency, congnitive impairments</w:t>
            </w:r>
          </w:p>
        </w:tc>
        <w:tc>
          <w:tcPr>
            <w:tcW w:w="122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JUVENILE</w:t>
            </w: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Pronounced myotonia, somnolence, dysphagia,</w:t>
            </w:r>
          </w:p>
        </w:tc>
        <w:tc>
          <w:tcPr>
            <w:tcW w:w="122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vMerge w:val="continue"/>
          </w:tcPr>
          <w:p>
            <w:pPr>
              <w:spacing w:after="0"/>
              <w:rPr>
                <w:sz w:val="18"/>
                <w:szCs w:val="18"/>
                <w:color w:val="auto"/>
              </w:rPr>
            </w:pP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respiratory insufficiency, muscle weakness and</w:t>
            </w:r>
          </w:p>
        </w:tc>
        <w:tc>
          <w:tcPr>
            <w:tcW w:w="122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89"/>
              </w:rPr>
              <w:t>10 – 20</w:t>
            </w:r>
          </w:p>
        </w:tc>
        <w:tc>
          <w:tcPr>
            <w:tcW w:w="174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86"/>
              </w:rPr>
              <w:t>50 – 1,000</w:t>
            </w:r>
          </w:p>
        </w:tc>
        <w:tc>
          <w:tcPr>
            <w:tcW w:w="178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w w:val="94"/>
              </w:rPr>
              <w:t>facial dysmorphism, mild cognitive impairments</w:t>
            </w:r>
          </w:p>
        </w:tc>
        <w:tc>
          <w:tcPr>
            <w:tcW w:w="122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ADULT</w:t>
            </w: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88"/>
              </w:rPr>
              <w:t>Muscle weakness, GI symptoms, dysphagia, facial</w:t>
            </w:r>
          </w:p>
        </w:tc>
        <w:tc>
          <w:tcPr>
            <w:tcW w:w="1220" w:type="dxa"/>
            <w:vAlign w:val="bottom"/>
            <w:tcBorders>
              <w:right w:val="single" w:sz="8" w:color="auto"/>
            </w:tcBorders>
          </w:tcPr>
          <w:p>
            <w:pPr>
              <w:spacing w:after="0"/>
              <w:rPr>
                <w:sz w:val="22"/>
                <w:szCs w:val="22"/>
                <w:color w:val="auto"/>
              </w:rPr>
            </w:pPr>
          </w:p>
        </w:tc>
        <w:tc>
          <w:tcPr>
            <w:tcW w:w="174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vMerge w:val="continue"/>
          </w:tcPr>
          <w:p>
            <w:pPr>
              <w:spacing w:after="0"/>
              <w:rPr>
                <w:sz w:val="18"/>
                <w:szCs w:val="18"/>
                <w:color w:val="auto"/>
              </w:rPr>
            </w:pP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dysmorphism, cognitive impariment, cardiac</w:t>
            </w:r>
          </w:p>
        </w:tc>
        <w:tc>
          <w:tcPr>
            <w:tcW w:w="122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89"/>
              </w:rPr>
              <w:t>20 – 40</w:t>
            </w:r>
          </w:p>
        </w:tc>
        <w:tc>
          <w:tcPr>
            <w:tcW w:w="174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86"/>
              </w:rPr>
              <w:t>50 – 1,000</w:t>
            </w:r>
          </w:p>
        </w:tc>
        <w:tc>
          <w:tcPr>
            <w:tcW w:w="1780" w:type="dxa"/>
            <w:vAlign w:val="bottom"/>
            <w:tcBorders>
              <w:right w:val="single" w:sz="8" w:color="auto"/>
            </w:tcBorders>
          </w:tcPr>
          <w:p>
            <w:pPr>
              <w:jc w:val="center"/>
              <w:ind w:left="312"/>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conduction defects, cataracts and myotonia</w:t>
            </w:r>
          </w:p>
        </w:tc>
        <w:tc>
          <w:tcPr>
            <w:tcW w:w="122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LATE</w:t>
            </w:r>
          </w:p>
        </w:tc>
        <w:tc>
          <w:tcPr>
            <w:tcW w:w="392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Cardiac defects, cataracts, diabetes,</w:t>
            </w:r>
          </w:p>
        </w:tc>
        <w:tc>
          <w:tcPr>
            <w:tcW w:w="1220" w:type="dxa"/>
            <w:vAlign w:val="bottom"/>
            <w:tcBorders>
              <w:right w:val="single" w:sz="8" w:color="auto"/>
            </w:tcBorders>
            <w:vMerge w:val="restart"/>
          </w:tcPr>
          <w:p>
            <w:pPr>
              <w:jc w:val="center"/>
              <w:ind w:left="312"/>
              <w:spacing w:after="0"/>
              <w:rPr>
                <w:sz w:val="20"/>
                <w:szCs w:val="20"/>
                <w:color w:val="auto"/>
              </w:rPr>
            </w:pPr>
            <w:r>
              <w:rPr>
                <w:rFonts w:ascii="Arial" w:cs="Arial" w:eastAsia="Arial" w:hAnsi="Arial"/>
                <w:sz w:val="18"/>
                <w:szCs w:val="18"/>
                <w:color w:val="auto"/>
                <w:w w:val="85"/>
              </w:rPr>
              <w:t>40+</w:t>
            </w:r>
          </w:p>
        </w:tc>
        <w:tc>
          <w:tcPr>
            <w:tcW w:w="1740" w:type="dxa"/>
            <w:vAlign w:val="bottom"/>
            <w:tcBorders>
              <w:right w:val="single" w:sz="8" w:color="auto"/>
            </w:tcBorders>
            <w:vMerge w:val="restart"/>
          </w:tcPr>
          <w:p>
            <w:pPr>
              <w:jc w:val="center"/>
              <w:ind w:left="312"/>
              <w:spacing w:after="0"/>
              <w:rPr>
                <w:sz w:val="20"/>
                <w:szCs w:val="20"/>
                <w:color w:val="auto"/>
              </w:rPr>
            </w:pPr>
            <w:r>
              <w:rPr>
                <w:rFonts w:ascii="Arial" w:cs="Arial" w:eastAsia="Arial" w:hAnsi="Arial"/>
                <w:sz w:val="18"/>
                <w:szCs w:val="18"/>
                <w:color w:val="auto"/>
                <w:w w:val="88"/>
              </w:rPr>
              <w:t>50 – 100</w:t>
            </w:r>
          </w:p>
        </w:tc>
        <w:tc>
          <w:tcPr>
            <w:tcW w:w="1780" w:type="dxa"/>
            <w:vAlign w:val="bottom"/>
            <w:tcBorders>
              <w:right w:val="single" w:sz="8" w:color="auto"/>
            </w:tcBorders>
            <w:vMerge w:val="restart"/>
          </w:tcPr>
          <w:p>
            <w:pPr>
              <w:jc w:val="center"/>
              <w:ind w:left="312"/>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14"/>
        </w:trPr>
        <w:tc>
          <w:tcPr>
            <w:tcW w:w="2600" w:type="dxa"/>
            <w:vAlign w:val="bottom"/>
            <w:tcBorders>
              <w:left w:val="single" w:sz="8" w:color="auto"/>
              <w:right w:val="single" w:sz="8" w:color="auto"/>
            </w:tcBorders>
            <w:vMerge w:val="continue"/>
          </w:tcPr>
          <w:p>
            <w:pPr>
              <w:spacing w:after="0"/>
              <w:rPr>
                <w:sz w:val="9"/>
                <w:szCs w:val="9"/>
                <w:color w:val="auto"/>
              </w:rPr>
            </w:pPr>
          </w:p>
        </w:tc>
        <w:tc>
          <w:tcPr>
            <w:tcW w:w="39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w w:val="99"/>
              </w:rPr>
              <w:t>overweight/obesity, GI symptoms, dysphagia</w:t>
            </w:r>
          </w:p>
        </w:tc>
        <w:tc>
          <w:tcPr>
            <w:tcW w:w="1220" w:type="dxa"/>
            <w:vAlign w:val="bottom"/>
            <w:tcBorders>
              <w:right w:val="single" w:sz="8" w:color="auto"/>
            </w:tcBorders>
            <w:vMerge w:val="continue"/>
          </w:tcPr>
          <w:p>
            <w:pPr>
              <w:spacing w:after="0"/>
              <w:rPr>
                <w:sz w:val="9"/>
                <w:szCs w:val="9"/>
                <w:color w:val="auto"/>
              </w:rPr>
            </w:pPr>
          </w:p>
        </w:tc>
        <w:tc>
          <w:tcPr>
            <w:tcW w:w="174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00" w:type="dxa"/>
            <w:vAlign w:val="bottom"/>
            <w:tcBorders>
              <w:left w:val="single" w:sz="8" w:color="auto"/>
              <w:bottom w:val="single" w:sz="8" w:color="auto"/>
              <w:right w:val="single" w:sz="8" w:color="auto"/>
            </w:tcBorders>
          </w:tcPr>
          <w:p>
            <w:pPr>
              <w:spacing w:after="0"/>
              <w:rPr>
                <w:sz w:val="9"/>
                <w:szCs w:val="9"/>
                <w:color w:val="auto"/>
              </w:rPr>
            </w:pPr>
          </w:p>
        </w:tc>
        <w:tc>
          <w:tcPr>
            <w:tcW w:w="3920" w:type="dxa"/>
            <w:vAlign w:val="bottom"/>
            <w:tcBorders>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2"/>
        </w:trPr>
        <w:tc>
          <w:tcPr>
            <w:tcW w:w="2600" w:type="dxa"/>
            <w:vAlign w:val="bottom"/>
          </w:tcPr>
          <w:p>
            <w:pPr>
              <w:spacing w:after="0"/>
              <w:rPr>
                <w:sz w:val="20"/>
                <w:szCs w:val="20"/>
                <w:color w:val="auto"/>
              </w:rPr>
            </w:pPr>
            <w:r>
              <w:rPr>
                <w:rFonts w:ascii="Arial" w:cs="Arial" w:eastAsia="Arial" w:hAnsi="Arial"/>
                <w:sz w:val="18"/>
                <w:szCs w:val="18"/>
                <w:b w:val="1"/>
                <w:bCs w:val="1"/>
                <w:color w:val="auto"/>
                <w:w w:val="99"/>
              </w:rPr>
              <w:t>Overview of DM1 phenotypes.</w:t>
            </w:r>
          </w:p>
        </w:tc>
        <w:tc>
          <w:tcPr>
            <w:tcW w:w="3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0"/>
                <w:szCs w:val="20"/>
                <w:color w:val="auto"/>
              </w:rPr>
            </w:pPr>
            <w:r>
              <w:rPr>
                <w:rFonts w:ascii="Arial" w:cs="Arial" w:eastAsia="Arial" w:hAnsi="Arial"/>
                <w:sz w:val="18"/>
                <w:szCs w:val="18"/>
                <w:i w:val="1"/>
                <w:iCs w:val="1"/>
                <w:color w:val="auto"/>
                <w:w w:val="91"/>
              </w:rPr>
              <w:t>Current approaches and limitations</w:t>
            </w:r>
          </w:p>
        </w:tc>
        <w:tc>
          <w:tcPr>
            <w:tcW w:w="3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40" w:firstLine="449"/>
        <w:spacing w:after="0" w:line="304" w:lineRule="auto"/>
        <w:rPr>
          <w:sz w:val="20"/>
          <w:szCs w:val="20"/>
          <w:color w:val="auto"/>
        </w:rPr>
      </w:pPr>
      <w:r>
        <w:rPr>
          <w:rFonts w:ascii="Arial" w:cs="Arial" w:eastAsia="Arial" w:hAnsi="Arial"/>
          <w:sz w:val="15"/>
          <w:szCs w:val="15"/>
          <w:color w:val="auto"/>
        </w:rPr>
        <w:t>There are currently no approved therapies to treat DM1, with current standards of care being medicines that are used off-label for symptom management. There are a number of therapeutics currently in clinical development for the treatment of DM1 symptoms, including the small molecules tideglusib and ERX-</w:t>
      </w:r>
    </w:p>
    <w:p>
      <w:pPr>
        <w:spacing w:after="0" w:line="1" w:lineRule="exact"/>
        <w:rPr>
          <w:sz w:val="20"/>
          <w:szCs w:val="20"/>
          <w:color w:val="auto"/>
        </w:rPr>
      </w:pPr>
    </w:p>
    <w:p>
      <w:pPr>
        <w:ind w:right="100" w:firstLine="8"/>
        <w:spacing w:after="0" w:line="295" w:lineRule="auto"/>
        <w:tabs>
          <w:tab w:leader="none" w:pos="351"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However, neither of these therapeutics treat the underlying cause of disease, and thus we believe that a considerable unmet need will remain in DM1 even if these therapies are approved. Previously, a phosphorothioate ASO designed to cause degradation of the </w:t>
      </w:r>
      <w:r>
        <w:rPr>
          <w:rFonts w:ascii="Arial" w:cs="Arial" w:eastAsia="Arial" w:hAnsi="Arial"/>
          <w:sz w:val="16"/>
          <w:szCs w:val="16"/>
          <w:i w:val="1"/>
          <w:iCs w:val="1"/>
          <w:color w:val="auto"/>
        </w:rPr>
        <w:t>DMPK</w:t>
      </w:r>
      <w:r>
        <w:rPr>
          <w:rFonts w:ascii="Arial" w:cs="Arial" w:eastAsia="Arial" w:hAnsi="Arial"/>
          <w:sz w:val="16"/>
          <w:szCs w:val="16"/>
          <w:color w:val="auto"/>
        </w:rPr>
        <w:t xml:space="preserve"> transcript was clinically assessed as a therapeutic for DM1. However, this therapeutic approach was restricted by the inefficiency of ASO delivery into tissue, thus limiting the effective clinical translation of this product candidate.</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60"/>
          </w:cols>
          <w:pgMar w:left="32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60" w:firstLine="449"/>
        <w:spacing w:after="0" w:line="253" w:lineRule="auto"/>
        <w:rPr>
          <w:sz w:val="20"/>
          <w:szCs w:val="20"/>
          <w:color w:val="auto"/>
        </w:rPr>
      </w:pPr>
      <w:r>
        <w:rPr>
          <w:rFonts w:ascii="Arial" w:cs="Arial" w:eastAsia="Arial" w:hAnsi="Arial"/>
          <w:sz w:val="18"/>
          <w:szCs w:val="18"/>
          <w:color w:val="auto"/>
        </w:rPr>
        <w:t xml:space="preserve">There are several approaches leveraging antibody-oligonucleotide conjugate, or AOC, technology, that are currently in preclinical development for the treatment of DM1. In contrast to our steric blocking mechanism of action, these AOCs are seeking to knockdown </w:t>
      </w:r>
      <w:r>
        <w:rPr>
          <w:rFonts w:ascii="Arial" w:cs="Arial" w:eastAsia="Arial" w:hAnsi="Arial"/>
          <w:sz w:val="18"/>
          <w:szCs w:val="18"/>
          <w:i w:val="1"/>
          <w:iCs w:val="1"/>
          <w:color w:val="auto"/>
        </w:rPr>
        <w:t>DMPK</w:t>
      </w:r>
      <w:r>
        <w:rPr>
          <w:rFonts w:ascii="Arial" w:cs="Arial" w:eastAsia="Arial" w:hAnsi="Arial"/>
          <w:sz w:val="18"/>
          <w:szCs w:val="18"/>
          <w:color w:val="auto"/>
        </w:rPr>
        <w:t xml:space="preserve"> as a therapeutic modality. However, such knockdown or degradation therapeutic modalities that cannot differentiate between expanded and non-expanded transcripts may risk confounding effects due to haploinsufficiency. Haploinsufficiency is a condition where one of the parental genes is deleted or mutated and the remaining gene is unable to produce sufficient protein for normal function. This condition can be created artificially by degradation of sufficient levels of RNA such that there is insufficient protein produced for normal function. We believe that PGN-EDODM1 has the potential to offer a number of benefits when compared to these alternative technologies, as outlined in the table below:</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37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348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EDO CONJUGATE</w:t>
            </w:r>
          </w:p>
        </w:tc>
        <w:tc>
          <w:tcPr>
            <w:tcW w:w="208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TFR1 FAB AOC</w:t>
            </w:r>
          </w:p>
        </w:tc>
        <w:tc>
          <w:tcPr>
            <w:tcW w:w="198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TFR1 MAB AOC</w:t>
            </w:r>
          </w:p>
        </w:tc>
        <w:tc>
          <w:tcPr>
            <w:tcW w:w="0" w:type="dxa"/>
            <w:vAlign w:val="bottom"/>
          </w:tcPr>
          <w:p>
            <w:pPr>
              <w:spacing w:after="0"/>
              <w:rPr>
                <w:sz w:val="1"/>
                <w:szCs w:val="1"/>
                <w:color w:val="auto"/>
              </w:rPr>
            </w:pPr>
          </w:p>
        </w:tc>
      </w:tr>
      <w:tr>
        <w:trPr>
          <w:trHeight w:val="202"/>
        </w:trPr>
        <w:tc>
          <w:tcPr>
            <w:tcW w:w="37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DELIVERY TO MUSCLE</w:t>
            </w:r>
          </w:p>
        </w:tc>
        <w:tc>
          <w:tcPr>
            <w:tcW w:w="34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w w:val="92"/>
              </w:rPr>
              <w:t>Efficient tissue penetration due to small</w:t>
            </w:r>
          </w:p>
        </w:tc>
        <w:tc>
          <w:tcPr>
            <w:tcW w:w="20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Large size of</w:t>
            </w:r>
          </w:p>
        </w:tc>
        <w:tc>
          <w:tcPr>
            <w:tcW w:w="1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Large size of</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size of EDO peptide relative to an</w:t>
            </w: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delivery Fab</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delivery</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antibody or antibody fragment</w:t>
            </w: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reduces tissue</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antibody</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penetration</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limits tissue</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penetration</w:t>
            </w:r>
          </w:p>
        </w:tc>
        <w:tc>
          <w:tcPr>
            <w:tcW w:w="0" w:type="dxa"/>
            <w:vAlign w:val="bottom"/>
          </w:tcPr>
          <w:p>
            <w:pPr>
              <w:spacing w:after="0"/>
              <w:rPr>
                <w:sz w:val="1"/>
                <w:szCs w:val="1"/>
                <w:color w:val="auto"/>
              </w:rPr>
            </w:pPr>
          </w:p>
        </w:tc>
      </w:tr>
      <w:tr>
        <w:trPr>
          <w:trHeight w:val="202"/>
        </w:trPr>
        <w:tc>
          <w:tcPr>
            <w:tcW w:w="37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DELIVERY TO CNS</w:t>
            </w:r>
          </w:p>
        </w:tc>
        <w:tc>
          <w:tcPr>
            <w:tcW w:w="34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w w:val="92"/>
              </w:rPr>
              <w:t>Delivery to CNS demonstrated in NHPs</w:t>
            </w:r>
          </w:p>
        </w:tc>
        <w:tc>
          <w:tcPr>
            <w:tcW w:w="20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Affinity of</w:t>
            </w:r>
          </w:p>
        </w:tc>
        <w:tc>
          <w:tcPr>
            <w:tcW w:w="1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Affinity of</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TfR1 Fab</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TfR1 mAb</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prevents CNS</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prevents</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delivery</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CNS</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delivery</w:t>
            </w:r>
          </w:p>
        </w:tc>
        <w:tc>
          <w:tcPr>
            <w:tcW w:w="0" w:type="dxa"/>
            <w:vAlign w:val="bottom"/>
          </w:tcPr>
          <w:p>
            <w:pPr>
              <w:spacing w:after="0"/>
              <w:rPr>
                <w:sz w:val="1"/>
                <w:szCs w:val="1"/>
                <w:color w:val="auto"/>
              </w:rPr>
            </w:pPr>
          </w:p>
        </w:tc>
      </w:tr>
      <w:tr>
        <w:trPr>
          <w:trHeight w:val="202"/>
        </w:trPr>
        <w:tc>
          <w:tcPr>
            <w:tcW w:w="37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IMMUNOLOGY</w:t>
            </w:r>
          </w:p>
        </w:tc>
        <w:tc>
          <w:tcPr>
            <w:tcW w:w="34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Small peptide – low risk of</w:t>
            </w:r>
          </w:p>
        </w:tc>
        <w:tc>
          <w:tcPr>
            <w:tcW w:w="20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Considerably</w:t>
            </w:r>
          </w:p>
        </w:tc>
        <w:tc>
          <w:tcPr>
            <w:tcW w:w="1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Considerably</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immunogenicity or complement</w:t>
            </w: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higher protein</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higher</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activation</w:t>
            </w: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load may lead</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protein load;</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to greater</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mAb vectors</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immunogenicity</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risk</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risk</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complement</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activation</w:t>
            </w:r>
          </w:p>
        </w:tc>
        <w:tc>
          <w:tcPr>
            <w:tcW w:w="0" w:type="dxa"/>
            <w:vAlign w:val="bottom"/>
          </w:tcPr>
          <w:p>
            <w:pPr>
              <w:spacing w:after="0"/>
              <w:rPr>
                <w:sz w:val="1"/>
                <w:szCs w:val="1"/>
                <w:color w:val="auto"/>
              </w:rPr>
            </w:pPr>
          </w:p>
        </w:tc>
      </w:tr>
      <w:tr>
        <w:trPr>
          <w:trHeight w:val="202"/>
        </w:trPr>
        <w:tc>
          <w:tcPr>
            <w:tcW w:w="37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POTENTIAL FOR HAPLOINSUFFICIENCY</w:t>
            </w:r>
          </w:p>
        </w:tc>
        <w:tc>
          <w:tcPr>
            <w:tcW w:w="34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Limited</w:t>
            </w:r>
          </w:p>
        </w:tc>
        <w:tc>
          <w:tcPr>
            <w:tcW w:w="20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Theoretical risk</w:t>
            </w:r>
          </w:p>
        </w:tc>
        <w:tc>
          <w:tcPr>
            <w:tcW w:w="1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Theoretical</w:t>
            </w:r>
          </w:p>
        </w:tc>
        <w:tc>
          <w:tcPr>
            <w:tcW w:w="0" w:type="dxa"/>
            <w:vAlign w:val="bottom"/>
          </w:tcPr>
          <w:p>
            <w:pPr>
              <w:spacing w:after="0"/>
              <w:rPr>
                <w:sz w:val="1"/>
                <w:szCs w:val="1"/>
                <w:color w:val="auto"/>
              </w:rPr>
            </w:pPr>
          </w:p>
        </w:tc>
      </w:tr>
      <w:tr>
        <w:trPr>
          <w:trHeight w:val="223"/>
        </w:trPr>
        <w:tc>
          <w:tcPr>
            <w:tcW w:w="3720" w:type="dxa"/>
            <w:vAlign w:val="bottom"/>
            <w:tcBorders>
              <w:left w:val="single" w:sz="8" w:color="auto"/>
              <w:bottom w:val="single" w:sz="8" w:color="auto"/>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risk</w:t>
            </w:r>
          </w:p>
        </w:tc>
        <w:tc>
          <w:tcPr>
            <w:tcW w:w="0" w:type="dxa"/>
            <w:vAlign w:val="bottom"/>
          </w:tcPr>
          <w:p>
            <w:pPr>
              <w:spacing w:after="0"/>
              <w:rPr>
                <w:sz w:val="1"/>
                <w:szCs w:val="1"/>
                <w:color w:val="auto"/>
              </w:rPr>
            </w:pPr>
          </w:p>
        </w:tc>
      </w:tr>
      <w:tr>
        <w:trPr>
          <w:trHeight w:val="202"/>
        </w:trPr>
        <w:tc>
          <w:tcPr>
            <w:tcW w:w="37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b w:val="1"/>
                <w:bCs w:val="1"/>
                <w:color w:val="auto"/>
              </w:rPr>
              <w:t>MANUFACTURING SCALABILITY</w:t>
            </w:r>
          </w:p>
        </w:tc>
        <w:tc>
          <w:tcPr>
            <w:tcW w:w="348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ind w:left="540"/>
              <w:spacing w:after="0" w:line="202" w:lineRule="exact"/>
              <w:rPr>
                <w:sz w:val="20"/>
                <w:szCs w:val="20"/>
                <w:color w:val="auto"/>
              </w:rPr>
            </w:pPr>
            <w:r>
              <w:rPr>
                <w:rFonts w:ascii="Arial" w:cs="Arial" w:eastAsia="Arial" w:hAnsi="Arial"/>
                <w:sz w:val="18"/>
                <w:szCs w:val="18"/>
                <w:color w:val="auto"/>
              </w:rPr>
              <w:t>Increased</w:t>
            </w:r>
          </w:p>
        </w:tc>
        <w:tc>
          <w:tcPr>
            <w:tcW w:w="198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Increased</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vMerge w:val="restart"/>
          </w:tcPr>
          <w:p>
            <w:pPr>
              <w:ind w:left="540"/>
              <w:spacing w:after="0"/>
              <w:rPr>
                <w:sz w:val="20"/>
                <w:szCs w:val="20"/>
                <w:color w:val="auto"/>
              </w:rPr>
            </w:pPr>
            <w:r>
              <w:rPr>
                <w:rFonts w:ascii="Arial" w:cs="Arial" w:eastAsia="Arial" w:hAnsi="Arial"/>
                <w:sz w:val="18"/>
                <w:szCs w:val="18"/>
                <w:color w:val="auto"/>
                <w:w w:val="92"/>
              </w:rPr>
              <w:t>Scalable, straightforward synthesis and</w:t>
            </w:r>
          </w:p>
        </w:tc>
        <w:tc>
          <w:tcPr>
            <w:tcW w:w="20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complexity due</w:t>
            </w:r>
          </w:p>
        </w:tc>
        <w:tc>
          <w:tcPr>
            <w:tcW w:w="19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complexity</w:t>
            </w:r>
          </w:p>
        </w:tc>
        <w:tc>
          <w:tcPr>
            <w:tcW w:w="0" w:type="dxa"/>
            <w:vAlign w:val="bottom"/>
          </w:tcPr>
          <w:p>
            <w:pPr>
              <w:spacing w:after="0"/>
              <w:rPr>
                <w:sz w:val="1"/>
                <w:szCs w:val="1"/>
                <w:color w:val="auto"/>
              </w:rPr>
            </w:pPr>
          </w:p>
        </w:tc>
      </w:tr>
      <w:tr>
        <w:trPr>
          <w:trHeight w:val="175"/>
        </w:trPr>
        <w:tc>
          <w:tcPr>
            <w:tcW w:w="3720" w:type="dxa"/>
            <w:vAlign w:val="bottom"/>
            <w:tcBorders>
              <w:left w:val="single" w:sz="8" w:color="auto"/>
              <w:right w:val="single" w:sz="8" w:color="auto"/>
            </w:tcBorders>
          </w:tcPr>
          <w:p>
            <w:pPr>
              <w:spacing w:after="0"/>
              <w:rPr>
                <w:sz w:val="15"/>
                <w:szCs w:val="15"/>
                <w:color w:val="auto"/>
              </w:rPr>
            </w:pPr>
          </w:p>
        </w:tc>
        <w:tc>
          <w:tcPr>
            <w:tcW w:w="3480" w:type="dxa"/>
            <w:vAlign w:val="bottom"/>
            <w:tcBorders>
              <w:right w:val="single" w:sz="8" w:color="auto"/>
            </w:tcBorders>
            <w:vMerge w:val="continue"/>
          </w:tcPr>
          <w:p>
            <w:pPr>
              <w:spacing w:after="0"/>
              <w:rPr>
                <w:sz w:val="15"/>
                <w:szCs w:val="15"/>
                <w:color w:val="auto"/>
              </w:rPr>
            </w:pPr>
          </w:p>
        </w:tc>
        <w:tc>
          <w:tcPr>
            <w:tcW w:w="2080" w:type="dxa"/>
            <w:vAlign w:val="bottom"/>
            <w:tcBorders>
              <w:right w:val="single" w:sz="8" w:color="auto"/>
            </w:tcBorders>
          </w:tcPr>
          <w:p>
            <w:pPr>
              <w:ind w:left="540"/>
              <w:spacing w:after="0" w:line="176" w:lineRule="exact"/>
              <w:rPr>
                <w:sz w:val="20"/>
                <w:szCs w:val="20"/>
                <w:color w:val="auto"/>
              </w:rPr>
            </w:pPr>
            <w:r>
              <w:rPr>
                <w:rFonts w:ascii="Arial" w:cs="Arial" w:eastAsia="Arial" w:hAnsi="Arial"/>
                <w:sz w:val="18"/>
                <w:szCs w:val="18"/>
                <w:color w:val="auto"/>
              </w:rPr>
              <w:t>to large size of</w:t>
            </w:r>
          </w:p>
        </w:tc>
        <w:tc>
          <w:tcPr>
            <w:tcW w:w="1980" w:type="dxa"/>
            <w:vAlign w:val="bottom"/>
            <w:tcBorders>
              <w:right w:val="single" w:sz="8" w:color="auto"/>
            </w:tcBorders>
          </w:tcPr>
          <w:p>
            <w:pPr>
              <w:ind w:left="200"/>
              <w:spacing w:after="0" w:line="176" w:lineRule="exact"/>
              <w:rPr>
                <w:sz w:val="20"/>
                <w:szCs w:val="20"/>
                <w:color w:val="auto"/>
              </w:rPr>
            </w:pPr>
            <w:r>
              <w:rPr>
                <w:rFonts w:ascii="Arial" w:cs="Arial" w:eastAsia="Arial" w:hAnsi="Arial"/>
                <w:sz w:val="18"/>
                <w:szCs w:val="18"/>
                <w:color w:val="auto"/>
              </w:rPr>
              <w:t>due to large</w:t>
            </w:r>
          </w:p>
        </w:tc>
        <w:tc>
          <w:tcPr>
            <w:tcW w:w="0" w:type="dxa"/>
            <w:vAlign w:val="bottom"/>
          </w:tcPr>
          <w:p>
            <w:pPr>
              <w:spacing w:after="0"/>
              <w:rPr>
                <w:sz w:val="1"/>
                <w:szCs w:val="1"/>
                <w:color w:val="auto"/>
              </w:rPr>
            </w:pPr>
          </w:p>
        </w:tc>
      </w:tr>
      <w:tr>
        <w:trPr>
          <w:trHeight w:val="264"/>
        </w:trPr>
        <w:tc>
          <w:tcPr>
            <w:tcW w:w="3720" w:type="dxa"/>
            <w:vAlign w:val="bottom"/>
            <w:tcBorders>
              <w:left w:val="single" w:sz="8" w:color="auto"/>
              <w:bottom w:val="single" w:sz="8" w:color="auto"/>
              <w:right w:val="single" w:sz="8" w:color="auto"/>
            </w:tcBorders>
          </w:tcPr>
          <w:p>
            <w:pPr>
              <w:spacing w:after="0"/>
              <w:rPr>
                <w:sz w:val="22"/>
                <w:szCs w:val="22"/>
                <w:color w:val="auto"/>
              </w:rPr>
            </w:pPr>
          </w:p>
        </w:tc>
        <w:tc>
          <w:tcPr>
            <w:tcW w:w="34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characterization</w:t>
            </w:r>
          </w:p>
        </w:tc>
        <w:tc>
          <w:tcPr>
            <w:tcW w:w="208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Fab</w:t>
            </w:r>
          </w:p>
        </w:tc>
        <w:tc>
          <w:tcPr>
            <w:tcW w:w="1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size of mAb</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is differentiated against competing AOC therapeutics in development for DM1.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Our product candidate for the treatment of DM1, PGN-EDODM1, consists of the same EDO cell penetrating peptide used for PGN-EDO51 conjugated to an ASO that binds to the CUG repeats in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mRNA. PGN-EDODM1 is designed to directly address the deleterious effects of genetic alteration in DM1, i.e. the sequestration of MBNL1 due to the high number of CUG repeats in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transcript.</w:t>
      </w:r>
    </w:p>
    <w:p>
      <w:pPr>
        <w:spacing w:after="0" w:line="14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We believe that this innovative therapeutic approach has considerable advantages over oligonucleotide modalities that rely on knockdown or degradation of the </w:t>
      </w:r>
      <w:r>
        <w:rPr>
          <w:rFonts w:ascii="Arial" w:cs="Arial" w:eastAsia="Arial" w:hAnsi="Arial"/>
          <w:sz w:val="16"/>
          <w:szCs w:val="16"/>
          <w:i w:val="1"/>
          <w:iCs w:val="1"/>
          <w:color w:val="auto"/>
        </w:rPr>
        <w:t xml:space="preserve">DMPK </w:t>
      </w:r>
      <w:r>
        <w:rPr>
          <w:rFonts w:ascii="Arial" w:cs="Arial" w:eastAsia="Arial" w:hAnsi="Arial"/>
          <w:sz w:val="16"/>
          <w:szCs w:val="16"/>
          <w:color w:val="auto"/>
        </w:rPr>
        <w:t>transcript. PGN-EDODM1 utilizes a steric-block mechanism to liberate sequestered MBNL1, which we believe will allow the</w:t>
      </w:r>
      <w:r>
        <w:rPr>
          <w:rFonts w:ascii="Arial" w:cs="Arial" w:eastAsia="Arial" w:hAnsi="Arial"/>
          <w:sz w:val="16"/>
          <w:szCs w:val="16"/>
          <w:i w:val="1"/>
          <w:iCs w:val="1"/>
          <w:color w:val="auto"/>
        </w:rPr>
        <w:t xml:space="preserve"> DMPK </w:t>
      </w:r>
      <w:r>
        <w:rPr>
          <w:rFonts w:ascii="Arial" w:cs="Arial" w:eastAsia="Arial" w:hAnsi="Arial"/>
          <w:sz w:val="16"/>
          <w:szCs w:val="16"/>
          <w:color w:val="auto"/>
        </w:rPr>
        <w:t>transcript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performing its normal function within cells. We believe that this therapeutic strategy positions us to potentially offer clinically-meaningful benefits while mitigating the risk of deleterious outcomes that may be associated with a knockdown or degradation strategy.</w:t>
      </w:r>
    </w:p>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60"/>
          </w:cols>
          <w:pgMar w:left="320" w:top="459" w:right="31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205740</wp:posOffset>
            </wp:positionV>
            <wp:extent cx="5048885" cy="1911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4888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PGN-EDODM1 is designed to bind to the CUG repeats in DMPK RNA, which prevents MBNL1 from binding.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Preliminary activity data: Correction of molecular and functional DM1 phenotype</w:t>
      </w:r>
    </w:p>
    <w:p>
      <w:pPr>
        <w:spacing w:after="0" w:line="90"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We utilized the HSA</w:t>
      </w:r>
      <w:r>
        <w:rPr>
          <w:rFonts w:ascii="Arial" w:cs="Arial" w:eastAsia="Arial" w:hAnsi="Arial"/>
          <w:sz w:val="10"/>
          <w:szCs w:val="10"/>
          <w:color w:val="auto"/>
        </w:rPr>
        <w:t>LR</w:t>
      </w:r>
      <w:r>
        <w:rPr>
          <w:rFonts w:ascii="Arial" w:cs="Arial" w:eastAsia="Arial" w:hAnsi="Arial"/>
          <w:sz w:val="16"/>
          <w:szCs w:val="16"/>
          <w:color w:val="auto"/>
        </w:rPr>
        <w:t xml:space="preserve"> mouse model of DM1 to assess the activity of PGN-EDODM1. This well-validated transgenic mouse model contains 220 and 250 CTG trinucleotide repeats in the inserted human skeletal actin gene, and exhibits pathologies that are very similar to those seen in human DM1 patients. The CUG repeats expansion present in the HSA</w:t>
      </w:r>
      <w:r>
        <w:rPr>
          <w:rFonts w:ascii="Arial" w:cs="Arial" w:eastAsia="Arial" w:hAnsi="Arial"/>
          <w:sz w:val="10"/>
          <w:szCs w:val="10"/>
          <w:color w:val="auto"/>
        </w:rPr>
        <w:t>LR</w:t>
      </w:r>
      <w:r>
        <w:rPr>
          <w:rFonts w:ascii="Arial" w:cs="Arial" w:eastAsia="Arial" w:hAnsi="Arial"/>
          <w:sz w:val="16"/>
          <w:szCs w:val="16"/>
          <w:color w:val="auto"/>
        </w:rPr>
        <w:t xml:space="preserve"> mouse model, and the subsequent sequestration of MBNL1, leads to downstream defects in the normal mRNA splicing patterns for a number of transcripts, resulting in errant inclusions or exclusions of exons.</w:t>
      </w:r>
    </w:p>
    <w:p>
      <w:pPr>
        <w:spacing w:after="0" w:line="112" w:lineRule="exact"/>
        <w:rPr>
          <w:sz w:val="20"/>
          <w:szCs w:val="20"/>
          <w:color w:val="auto"/>
        </w:rPr>
      </w:pPr>
    </w:p>
    <w:p>
      <w:pPr>
        <w:ind w:right="460" w:firstLine="449"/>
        <w:spacing w:after="0" w:line="331" w:lineRule="auto"/>
        <w:rPr>
          <w:sz w:val="20"/>
          <w:szCs w:val="20"/>
          <w:color w:val="auto"/>
        </w:rPr>
      </w:pPr>
      <w:r>
        <w:rPr>
          <w:rFonts w:ascii="Arial" w:cs="Arial" w:eastAsia="Arial" w:hAnsi="Arial"/>
          <w:sz w:val="16"/>
          <w:szCs w:val="16"/>
          <w:color w:val="auto"/>
        </w:rPr>
        <w:t>In a single ascending dose study in HSA</w:t>
      </w:r>
      <w:r>
        <w:rPr>
          <w:rFonts w:ascii="Arial" w:cs="Arial" w:eastAsia="Arial" w:hAnsi="Arial"/>
          <w:sz w:val="10"/>
          <w:szCs w:val="10"/>
          <w:color w:val="auto"/>
        </w:rPr>
        <w:t>LR</w:t>
      </w:r>
      <w:r>
        <w:rPr>
          <w:rFonts w:ascii="Arial" w:cs="Arial" w:eastAsia="Arial" w:hAnsi="Arial"/>
          <w:sz w:val="16"/>
          <w:szCs w:val="16"/>
          <w:color w:val="auto"/>
        </w:rPr>
        <w:t xml:space="preserve"> mice, we observed a dose-dependent increase in tissue levels of the cargo oligonucleotide therapeutic of PGN-EDODM1 in both the quadricep and gastrocnemius skeletal muscles two weeks after intravenous administration of our product candidate.</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205740</wp:posOffset>
            </wp:positionV>
            <wp:extent cx="4345940" cy="39173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4594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Dose-dependent levels of PGN-EDODM1 were observed in mouse skeletal muscles two weeks after a single intravenous administration.</w:t>
      </w:r>
    </w:p>
    <w:p>
      <w:pPr>
        <w:spacing w:after="0" w:line="119"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Sequestration of MBNL1 in the HSA</w:t>
      </w:r>
      <w:r>
        <w:rPr>
          <w:rFonts w:ascii="Arial" w:cs="Arial" w:eastAsia="Arial" w:hAnsi="Arial"/>
          <w:sz w:val="10"/>
          <w:szCs w:val="10"/>
          <w:color w:val="auto"/>
        </w:rPr>
        <w:t>LR</w:t>
      </w:r>
      <w:r>
        <w:rPr>
          <w:rFonts w:ascii="Arial" w:cs="Arial" w:eastAsia="Arial" w:hAnsi="Arial"/>
          <w:sz w:val="16"/>
          <w:szCs w:val="16"/>
          <w:color w:val="auto"/>
        </w:rPr>
        <w:t xml:space="preserve"> mouse model causes mis-splicing of multiple RNAs including </w:t>
      </w:r>
      <w:r>
        <w:rPr>
          <w:rFonts w:ascii="Arial" w:cs="Arial" w:eastAsia="Arial" w:hAnsi="Arial"/>
          <w:sz w:val="16"/>
          <w:szCs w:val="16"/>
          <w:i w:val="1"/>
          <w:iCs w:val="1"/>
          <w:color w:val="auto"/>
        </w:rPr>
        <w:t>Clcn1</w:t>
      </w:r>
      <w:r>
        <w:rPr>
          <w:rFonts w:ascii="Arial" w:cs="Arial" w:eastAsia="Arial" w:hAnsi="Arial"/>
          <w:sz w:val="16"/>
          <w:szCs w:val="16"/>
          <w:color w:val="auto"/>
        </w:rPr>
        <w:t xml:space="preserve"> and </w:t>
      </w:r>
      <w:r>
        <w:rPr>
          <w:rFonts w:ascii="Arial" w:cs="Arial" w:eastAsia="Arial" w:hAnsi="Arial"/>
          <w:sz w:val="16"/>
          <w:szCs w:val="16"/>
          <w:i w:val="1"/>
          <w:iCs w:val="1"/>
          <w:color w:val="auto"/>
        </w:rPr>
        <w:t>Atp2a1</w:t>
      </w:r>
      <w:r>
        <w:rPr>
          <w:rFonts w:ascii="Arial" w:cs="Arial" w:eastAsia="Arial" w:hAnsi="Arial"/>
          <w:sz w:val="16"/>
          <w:szCs w:val="16"/>
          <w:color w:val="auto"/>
        </w:rPr>
        <w:t xml:space="preserve">, both of which are involved in the regulation of muscle movement. This mis-splicing causes the mice to exhibit myotonia, effectively recapitulating the classic symptom of disease that is observed in DM1 patients. Mis-splicing of </w:t>
      </w:r>
      <w:r>
        <w:rPr>
          <w:rFonts w:ascii="Arial" w:cs="Arial" w:eastAsia="Arial" w:hAnsi="Arial"/>
          <w:sz w:val="16"/>
          <w:szCs w:val="16"/>
          <w:i w:val="1"/>
          <w:iCs w:val="1"/>
          <w:color w:val="auto"/>
        </w:rPr>
        <w:t>Atp2a1</w:t>
      </w:r>
      <w:r>
        <w:rPr>
          <w:rFonts w:ascii="Arial" w:cs="Arial" w:eastAsia="Arial" w:hAnsi="Arial"/>
          <w:sz w:val="16"/>
          <w:szCs w:val="16"/>
          <w:color w:val="auto"/>
        </w:rPr>
        <w:t xml:space="preserve"> manifests as a lack of exon 22 inclusion in the </w:t>
      </w:r>
      <w:r>
        <w:rPr>
          <w:rFonts w:ascii="Arial" w:cs="Arial" w:eastAsia="Arial" w:hAnsi="Arial"/>
          <w:sz w:val="16"/>
          <w:szCs w:val="16"/>
          <w:i w:val="1"/>
          <w:iCs w:val="1"/>
          <w:color w:val="auto"/>
        </w:rPr>
        <w:t>Atp2a1</w:t>
      </w:r>
      <w:r>
        <w:rPr>
          <w:rFonts w:ascii="Arial" w:cs="Arial" w:eastAsia="Arial" w:hAnsi="Arial"/>
          <w:sz w:val="16"/>
          <w:szCs w:val="16"/>
          <w:color w:val="auto"/>
        </w:rPr>
        <w:t xml:space="preserve"> mRNA when compared to wild-type splicing patterns, while mis-splicing of </w:t>
      </w:r>
      <w:r>
        <w:rPr>
          <w:rFonts w:ascii="Arial" w:cs="Arial" w:eastAsia="Arial" w:hAnsi="Arial"/>
          <w:sz w:val="16"/>
          <w:szCs w:val="16"/>
          <w:i w:val="1"/>
          <w:iCs w:val="1"/>
          <w:color w:val="auto"/>
        </w:rPr>
        <w:t>Clcn1</w:t>
      </w:r>
      <w:r>
        <w:rPr>
          <w:rFonts w:ascii="Arial" w:cs="Arial" w:eastAsia="Arial" w:hAnsi="Arial"/>
          <w:sz w:val="16"/>
          <w:szCs w:val="16"/>
          <w:color w:val="auto"/>
        </w:rPr>
        <w:t xml:space="preserve"> manifests as an increase in exon 7A inclusion in the </w:t>
      </w:r>
      <w:r>
        <w:rPr>
          <w:rFonts w:ascii="Arial" w:cs="Arial" w:eastAsia="Arial" w:hAnsi="Arial"/>
          <w:sz w:val="16"/>
          <w:szCs w:val="16"/>
          <w:i w:val="1"/>
          <w:iCs w:val="1"/>
          <w:color w:val="auto"/>
        </w:rPr>
        <w:t>Clcn1</w:t>
      </w:r>
      <w:r>
        <w:rPr>
          <w:rFonts w:ascii="Arial" w:cs="Arial" w:eastAsia="Arial" w:hAnsi="Arial"/>
          <w:sz w:val="16"/>
          <w:szCs w:val="16"/>
          <w:color w:val="auto"/>
        </w:rPr>
        <w:t xml:space="preserve"> mRNA when compared to wild-type splicing patterns. With a single dose, we observed dose-dependent normalization of the splicing of these genes in the quadricep and gastrocnemius muscles two weeks after intravenous administration of PGN-EDODM1. At doses of 50 mg/kg and above, we interpret the splicing patterns as resembling those observed in saline-treated wild-type controls, highlighting the potential of our product candidate to address such downstream pathologies.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205740</wp:posOffset>
            </wp:positionV>
            <wp:extent cx="5031740" cy="3463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3174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PGN-EDODM1 led to a dose-dependent normalization of the splicing of Atp2a1 and Clcn1 transcripts in quadriceps muscles in HSA</w:t>
      </w:r>
      <w:r>
        <w:rPr>
          <w:rFonts w:ascii="Arial" w:cs="Arial" w:eastAsia="Arial" w:hAnsi="Arial"/>
          <w:sz w:val="10"/>
          <w:szCs w:val="10"/>
          <w:b w:val="1"/>
          <w:bCs w:val="1"/>
          <w:color w:val="auto"/>
        </w:rPr>
        <w:t>LR</w:t>
      </w:r>
      <w:r>
        <w:rPr>
          <w:rFonts w:ascii="Arial" w:cs="Arial" w:eastAsia="Arial" w:hAnsi="Arial"/>
          <w:sz w:val="16"/>
          <w:szCs w:val="16"/>
          <w:b w:val="1"/>
          <w:bCs w:val="1"/>
          <w:color w:val="auto"/>
        </w:rPr>
        <w:t xml:space="preserve"> mice.</w:t>
      </w:r>
    </w:p>
    <w:p>
      <w:pPr>
        <w:spacing w:after="0" w:line="119"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Consistent with the reversal of mis-splicing events, treatment with a single dose of PGN-EDODM1 also led to a reversal of the myotonia phenotype in HSA</w:t>
      </w:r>
      <w:r>
        <w:rPr>
          <w:rFonts w:ascii="Arial" w:cs="Arial" w:eastAsia="Arial" w:hAnsi="Arial"/>
          <w:sz w:val="10"/>
          <w:szCs w:val="10"/>
          <w:color w:val="auto"/>
        </w:rPr>
        <w:t>LR</w:t>
      </w:r>
      <w:r>
        <w:rPr>
          <w:rFonts w:ascii="Arial" w:cs="Arial" w:eastAsia="Arial" w:hAnsi="Arial"/>
          <w:sz w:val="16"/>
          <w:szCs w:val="16"/>
          <w:color w:val="auto"/>
        </w:rPr>
        <w:t xml:space="preserve"> mice, with doses of 30 mg/kg and 50 mg/kg showing complete normalization two weeks after administration. In observational studies we found quantitative amelioration of myotonia, where treated mice were able to ambulate normally following the inducement of myotonia by hindlimb pinching, while untreated HSA</w:t>
      </w:r>
      <w:r>
        <w:rPr>
          <w:rFonts w:ascii="Arial" w:cs="Arial" w:eastAsia="Arial" w:hAnsi="Arial"/>
          <w:sz w:val="10"/>
          <w:szCs w:val="10"/>
          <w:color w:val="auto"/>
        </w:rPr>
        <w:t>LR</w:t>
      </w:r>
      <w:r>
        <w:rPr>
          <w:rFonts w:ascii="Arial" w:cs="Arial" w:eastAsia="Arial" w:hAnsi="Arial"/>
          <w:sz w:val="16"/>
          <w:szCs w:val="16"/>
          <w:color w:val="auto"/>
        </w:rPr>
        <w:t xml:space="preserve"> mice were unable to efficiently use their hind legs and dragged them behind following the same myotonic inducement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102235</wp:posOffset>
            </wp:positionV>
            <wp:extent cx="2339975" cy="2228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3997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PGN-EDODM1 led to a normalization of myotonia after a single administration.</w:t>
      </w:r>
    </w:p>
    <w:p>
      <w:pPr>
        <w:spacing w:after="0" w:line="96" w:lineRule="exact"/>
        <w:rPr>
          <w:sz w:val="20"/>
          <w:szCs w:val="20"/>
          <w:color w:val="auto"/>
        </w:rPr>
      </w:pPr>
    </w:p>
    <w:p>
      <w:pPr>
        <w:jc w:val="both"/>
        <w:ind w:right="480" w:firstLine="449"/>
        <w:spacing w:after="0" w:line="259" w:lineRule="auto"/>
        <w:rPr>
          <w:sz w:val="20"/>
          <w:szCs w:val="20"/>
          <w:color w:val="auto"/>
        </w:rPr>
      </w:pPr>
      <w:r>
        <w:rPr>
          <w:rFonts w:ascii="Arial" w:cs="Arial" w:eastAsia="Arial" w:hAnsi="Arial"/>
          <w:sz w:val="18"/>
          <w:szCs w:val="18"/>
          <w:color w:val="auto"/>
        </w:rPr>
        <w:t>The pharmacologic effects of PGN-EDODM1 were observed to be highly durable. In a duration of effect study, again in the HSA</w:t>
      </w:r>
      <w:r>
        <w:rPr>
          <w:rFonts w:ascii="Arial" w:cs="Arial" w:eastAsia="Arial" w:hAnsi="Arial"/>
          <w:sz w:val="11"/>
          <w:szCs w:val="11"/>
          <w:color w:val="auto"/>
        </w:rPr>
        <w:t>LR</w:t>
      </w:r>
      <w:r>
        <w:rPr>
          <w:rFonts w:ascii="Arial" w:cs="Arial" w:eastAsia="Arial" w:hAnsi="Arial"/>
          <w:sz w:val="18"/>
          <w:szCs w:val="18"/>
          <w:color w:val="auto"/>
        </w:rPr>
        <w:t xml:space="preserve"> mouse model, amelioration of the pathogenic splicing patterns of the </w:t>
      </w:r>
      <w:r>
        <w:rPr>
          <w:rFonts w:ascii="Arial" w:cs="Arial" w:eastAsia="Arial" w:hAnsi="Arial"/>
          <w:sz w:val="18"/>
          <w:szCs w:val="18"/>
          <w:i w:val="1"/>
          <w:iCs w:val="1"/>
          <w:color w:val="auto"/>
        </w:rPr>
        <w:t>Atp2a1</w:t>
      </w:r>
      <w:r>
        <w:rPr>
          <w:rFonts w:ascii="Arial" w:cs="Arial" w:eastAsia="Arial" w:hAnsi="Arial"/>
          <w:sz w:val="18"/>
          <w:szCs w:val="18"/>
          <w:color w:val="auto"/>
        </w:rPr>
        <w:t xml:space="preserve"> and </w:t>
      </w:r>
      <w:r>
        <w:rPr>
          <w:rFonts w:ascii="Arial" w:cs="Arial" w:eastAsia="Arial" w:hAnsi="Arial"/>
          <w:sz w:val="18"/>
          <w:szCs w:val="18"/>
          <w:i w:val="1"/>
          <w:iCs w:val="1"/>
          <w:color w:val="auto"/>
        </w:rPr>
        <w:t>Clcn1</w:t>
      </w:r>
      <w:r>
        <w:rPr>
          <w:rFonts w:ascii="Arial" w:cs="Arial" w:eastAsia="Arial" w:hAnsi="Arial"/>
          <w:sz w:val="18"/>
          <w:szCs w:val="18"/>
          <w:color w:val="auto"/>
        </w:rPr>
        <w:t xml:space="preserve"> transcripts in the gastrocnemius and quadriceps persisted for at least 24 weeks following a single 30 mg/kg intravenous administration of PGN-EDODM1.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120015</wp:posOffset>
            </wp:positionV>
            <wp:extent cx="5031740" cy="18256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3174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PGN-EDODM1 led to durable improvements in mRNA splicing through 24 weeks post-dose in NHPs</w:t>
      </w:r>
    </w:p>
    <w:p>
      <w:pPr>
        <w:spacing w:after="0" w:line="9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Our product candidate in DM1 utilizes the same delivery peptide as our DMD pipeline, and thus we believe that PGN-EDODM1 and PGN-EDO51 are likely to share a similar tissue biodistribution profile and a similarly low risk of immunogenicity. As noted earlier, following a single intravenous dose of PGN-EDO51 in NHPs, significant tissue levels of the cargo oligonucleotide were observed in muscle tissues throughout the body, as well as in brain tissues such as cerebral cortex and cerebellum one week after administration. This evidence suggests that our peptide moieties are able to deliver cargo therapeutics across the blood-brain barrier, a characteristic that may in turn allow us to address the cognitive phenotypes that are apparent in DM1. These range in severity from the significant mental impairments seen in congenital patients to the milder CNS symptomology that is present in many adult-onset patients, including fatigue, daytime sleepiness and concentration difficulties. As such, we believe that we are well-positioned to offer patients a transformative therapeutic that has the capability to reach and treat the broad range of tissue types that are affected in this multi-systemic disorder.</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Safety data: Generally well-tolerated at clinically-relevant dose levels</w:t>
      </w:r>
    </w:p>
    <w:p>
      <w:pPr>
        <w:spacing w:after="0" w:line="90"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PGN-EDODM1 was generally well-tolerated in single dose studies in rodents. No mortality and no serious adverse events were observed. There was no impact on body weight or organ function.</w:t>
      </w:r>
    </w:p>
    <w:p>
      <w:pPr>
        <w:spacing w:after="0" w:line="132"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The platform nature of our EDO technology allows us to utilize the preclinical data collected for our PGN-EDO51 therapeutic to support our efforts in other pipeline indications such as DM1. We believe that PGN-EDO51 and PGN-EDODM1 are likely to share a similar toxicology profile, and thus we expect to observe a consistent tolerability profile at intended dose levels.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steps</w:t>
      </w:r>
    </w:p>
    <w:p>
      <w:pPr>
        <w:sectPr>
          <w:pgSz w:w="11900" w:h="16838" w:orient="portrait"/>
          <w:cols w:equalWidth="0" w:num="1">
            <w:col w:w="11200"/>
          </w:cols>
          <w:pgMar w:left="320" w:top="459" w:right="37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in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320" w:hanging="257"/>
        <w:spacing w:after="0" w:line="268" w:lineRule="auto"/>
        <w:rPr>
          <w:sz w:val="20"/>
          <w:szCs w:val="20"/>
          <w:color w:val="auto"/>
        </w:rPr>
      </w:pPr>
      <w:r>
        <w:rPr>
          <w:rFonts w:ascii="Arial" w:cs="Arial" w:eastAsia="Arial" w:hAnsi="Arial"/>
          <w:sz w:val="18"/>
          <w:szCs w:val="18"/>
          <w:color w:val="auto"/>
        </w:rPr>
        <w:t>We are currently focused on validating our product candidate in NHPs, and expect to move towards formal toxicology studies under GLP conditions . We anticipate submitting an IND for PGN-EDODM1 in .</w:t>
      </w:r>
    </w:p>
    <w:p>
      <w:pPr>
        <w:spacing w:after="0" w:line="118" w:lineRule="exact"/>
        <w:rPr>
          <w:sz w:val="20"/>
          <w:szCs w:val="20"/>
          <w:color w:val="auto"/>
        </w:rPr>
      </w:pPr>
    </w:p>
    <w:p>
      <w:pPr>
        <w:sectPr>
          <w:pgSz w:w="11900" w:h="16838" w:orient="portrait"/>
          <w:cols w:equalWidth="0" w:num="2">
            <w:col w:w="140" w:space="580"/>
            <w:col w:w="10480"/>
          </w:cols>
          <w:pgMar w:left="320" w:top="459" w:right="3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200"/>
          </w:cols>
          <w:pgMar w:left="320" w:top="459" w:right="37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PGN-EDO53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 xml:space="preserve">Our second EDO therapeutic for the treatment of DMD, and third clinical program, PGN-EDO53, is an EDO peptide-conjugated PMO designed to skip exon 53 of the dystrophin transcript in DMD patients who are amenable to such a therapeutic approach. PGN-EDO53 is designed to splice out exon 53 of the dystrophin pre-mRNA, resulting in the restoration of the open reading frame of the dystrophin transcript and production of a shortened yet functional dystrophin protein. PGN-EDO53 will utilize the same EDO cell penetrating peptide as our exon 51-skipping product candidate, PGN-EDO51, thereby allowing us to leverage our drug development experience in this indication to rapidly drive our exon 53-skipping product candidate to the clinic. We are currently conducting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 of candidate oligonucleotide sequences, and we anticipate that we will obtain exon skipping results from an NHP study in</w:t>
      </w:r>
    </w:p>
    <w:p>
      <w:pPr>
        <w:spacing w:after="0" w:line="1" w:lineRule="exact"/>
        <w:rPr>
          <w:sz w:val="20"/>
          <w:szCs w:val="20"/>
          <w:color w:val="auto"/>
        </w:rPr>
      </w:pPr>
    </w:p>
    <w:p>
      <w:pPr>
        <w:ind w:left="540"/>
        <w:spacing w:after="0"/>
        <w:tabs>
          <w:tab w:leader="none" w:pos="2820" w:val="left"/>
        </w:tabs>
        <w:rPr>
          <w:sz w:val="20"/>
          <w:szCs w:val="20"/>
          <w:color w:val="auto"/>
        </w:rPr>
      </w:pPr>
      <w:r>
        <w:rPr>
          <w:rFonts w:ascii="Arial" w:cs="Arial" w:eastAsia="Arial" w:hAnsi="Arial"/>
          <w:sz w:val="18"/>
          <w:szCs w:val="18"/>
          <w:color w:val="auto"/>
        </w:rPr>
        <w:t>and plan to file a CTA in</w:t>
      </w:r>
      <w:r>
        <w:rPr>
          <w:sz w:val="20"/>
          <w:szCs w:val="20"/>
          <w:color w:val="auto"/>
        </w:rPr>
        <w:tab/>
      </w:r>
      <w:r>
        <w:rPr>
          <w:rFonts w:ascii="Arial" w:cs="Arial" w:eastAsia="Arial" w:hAnsi="Arial"/>
          <w:sz w:val="14"/>
          <w:szCs w:val="14"/>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Disease background and prevalence</w:t>
      </w:r>
    </w:p>
    <w:p>
      <w:pPr>
        <w:spacing w:after="0" w:line="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DMD is a fatal X-linked recessive disorder that occurs in up to 1 in 3,500 live male births, with estimates suggesting that there are up to 15,000 DMD patients in the United States and approximately 25,000 in Europe. Afflicted individuals carry a mutation in the dystrophin gene, and the resulting absence of this critical protein in muscle tissue leads to cell death, atrophy and progressive motoric weakness. As such, DMD sufferers experience a continual deterioration in their physical abilities from birth onwards, with most boys requiring the use of a wheelchair by their early teens. Cardiomyopathies and respiratory ailments become increasingly common as the disease takes hold, and most patients will die from these complications between the ages of 25 and 35. It is estimated that 8% of DMD patients have mutations that would be amenable to treatments with an exon 53 skipping approach.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approaches and limitations</w:t>
      </w:r>
    </w:p>
    <w:p>
      <w:pPr>
        <w:spacing w:after="0" w:line="90"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Two unconjugated ASOs leveraging PMO chemistry have been approved for the treatment of individuals with DMD who are amenable to an exon 53-skipping approach – golodirsen, marketed as Vyondys 53</w:t>
      </w:r>
      <w:r>
        <w:rPr>
          <w:rFonts w:ascii="Arial" w:cs="Arial" w:eastAsia="Arial" w:hAnsi="Arial"/>
          <w:sz w:val="11"/>
          <w:szCs w:val="11"/>
          <w:color w:val="auto"/>
        </w:rPr>
        <w:t>®</w:t>
      </w:r>
      <w:r>
        <w:rPr>
          <w:rFonts w:ascii="Arial" w:cs="Arial" w:eastAsia="Arial" w:hAnsi="Arial"/>
          <w:sz w:val="18"/>
          <w:szCs w:val="18"/>
          <w:color w:val="auto"/>
        </w:rPr>
        <w:t xml:space="preserve"> by Sarepta and viltolarsen, marketed as Viltepso</w:t>
      </w:r>
      <w:r>
        <w:rPr>
          <w:rFonts w:ascii="Arial" w:cs="Arial" w:eastAsia="Arial" w:hAnsi="Arial"/>
          <w:sz w:val="11"/>
          <w:szCs w:val="11"/>
          <w:color w:val="auto"/>
        </w:rPr>
        <w:t>®</w:t>
      </w:r>
      <w:r>
        <w:rPr>
          <w:rFonts w:ascii="Arial" w:cs="Arial" w:eastAsia="Arial" w:hAnsi="Arial"/>
          <w:sz w:val="18"/>
          <w:szCs w:val="18"/>
          <w:color w:val="auto"/>
        </w:rPr>
        <w:t xml:space="preserve"> by NS Pharma in the U.S. and Nippon Shinyaku in Japan. These drugs were approved in the United States through the Accelerated Approval regulatory pathway based on an increased expression of dystrophin, which is considered to be a surrogate endpoint for this indication. Both golodirsen and viltolarsen have yet to establish a clinical benefit for DMD patients through a confirmatory trial.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w:t>
      </w:r>
    </w:p>
    <w:p>
      <w:pPr>
        <w:spacing w:after="0" w:line="90" w:lineRule="exact"/>
        <w:rPr>
          <w:sz w:val="20"/>
          <w:szCs w:val="20"/>
          <w:color w:val="auto"/>
        </w:rPr>
      </w:pPr>
    </w:p>
    <w:p>
      <w:pPr>
        <w:jc w:val="both"/>
        <w:ind w:right="60" w:firstLine="449"/>
        <w:spacing w:after="0" w:line="335" w:lineRule="auto"/>
        <w:rPr>
          <w:sz w:val="20"/>
          <w:szCs w:val="20"/>
          <w:color w:val="auto"/>
        </w:rPr>
      </w:pPr>
      <w:r>
        <w:rPr>
          <w:rFonts w:ascii="Arial" w:cs="Arial" w:eastAsia="Arial" w:hAnsi="Arial"/>
          <w:sz w:val="15"/>
          <w:szCs w:val="15"/>
          <w:color w:val="auto"/>
        </w:rPr>
        <w:t>We are developing PGN-EDO53, a peptide-conjugated ASO designed to skip exon 53 of the dystrophin transcript in DMD patients who are amenable to such a therapeutic approach. We have employed the same EDO peptide in PGN-EDO53 as is utilized in PGN-EDO51, our exon 51-skipping product candidate – a factor that allows us to rapidly drive our exon 53-skipping product candidate to the clinic by leveraging our drug development experience in this indication.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90" w:lineRule="exact"/>
        <w:rPr>
          <w:sz w:val="20"/>
          <w:szCs w:val="20"/>
          <w:color w:val="auto"/>
        </w:rPr>
      </w:pPr>
    </w:p>
    <w:p>
      <w:pPr>
        <w:ind w:right="40" w:firstLine="449"/>
        <w:spacing w:after="0" w:line="302" w:lineRule="auto"/>
        <w:rPr>
          <w:sz w:val="20"/>
          <w:szCs w:val="20"/>
          <w:color w:val="auto"/>
        </w:rPr>
      </w:pPr>
      <w:r>
        <w:rPr>
          <w:rFonts w:ascii="Arial" w:cs="Arial" w:eastAsia="Arial" w:hAnsi="Arial"/>
          <w:sz w:val="15"/>
          <w:szCs w:val="15"/>
          <w:color w:val="auto"/>
        </w:rPr>
        <w:t xml:space="preserve">We are currently engaged in an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screen of a number of candidate ASO sequences utilizing the established PMO chemistry. These candidates were selected from published exon 53-skipping sequences and associated publicly available efficacy data; we have subsequently synthesized their EDO peptide conjugates and are assessing the efficacy of these in human-derived myoblasts carrying a mutation that is amenable to treatment with an exon 53-skipping therapeutic approach. Based on the data obtained in this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screen, we will select several lead candidates for assessment in a subsequent NHP study, which</w:t>
      </w:r>
    </w:p>
    <w:p>
      <w:pPr>
        <w:spacing w:after="0" w:line="2"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we anticipate completing in</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205740</wp:posOffset>
            </wp:positionV>
            <wp:extent cx="5031740" cy="15944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3174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347" w:lineRule="auto"/>
        <w:rPr>
          <w:sz w:val="20"/>
          <w:szCs w:val="20"/>
          <w:color w:val="auto"/>
        </w:rPr>
      </w:pPr>
      <w:r>
        <w:rPr>
          <w:rFonts w:ascii="Arial" w:cs="Arial" w:eastAsia="Arial" w:hAnsi="Arial"/>
          <w:sz w:val="18"/>
          <w:szCs w:val="18"/>
          <w:b w:val="1"/>
          <w:bCs w:val="1"/>
          <w:color w:val="auto"/>
        </w:rPr>
        <w:t xml:space="preserve">We have selected a number of candidate PMO sequences, and are currently conducting an in vitro screen of the activity of their peptide conjugates. </w:t>
      </w:r>
      <w:r>
        <w:rPr>
          <w:rFonts w:ascii="Arial" w:cs="Arial" w:eastAsia="Arial" w:hAnsi="Arial"/>
          <w:sz w:val="18"/>
          <w:szCs w:val="18"/>
          <w:i w:val="1"/>
          <w:iCs w:val="1"/>
          <w:color w:val="auto"/>
        </w:rPr>
        <w:t>Clinical development</w:t>
      </w:r>
    </w:p>
    <w:p>
      <w:pPr>
        <w:spacing w:after="0" w:line="1"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We anticipate that the clinical path for PGN-EDO53 will mirror that of PGN-EDO51, allowing us to again leverage our experience in this indication to support this phase of development for our exon 53-skipping product candidate. Thus, our expectation is that the clinical development of PGN-EDO53 will commence with a single ascending dose study in healthy normal volunteers, and that this will be following by studies in DMD patients who are amenable to an</w:t>
      </w:r>
    </w:p>
    <w:p>
      <w:pPr>
        <w:spacing w:after="0" w:line="1" w:lineRule="exact"/>
        <w:rPr>
          <w:sz w:val="20"/>
          <w:szCs w:val="20"/>
          <w:color w:val="auto"/>
        </w:rPr>
      </w:pPr>
    </w:p>
    <w:p>
      <w:pPr>
        <w:spacing w:after="0"/>
        <w:tabs>
          <w:tab w:leader="none" w:pos="5920" w:val="left"/>
        </w:tabs>
        <w:rPr>
          <w:sz w:val="20"/>
          <w:szCs w:val="20"/>
          <w:color w:val="auto"/>
        </w:rPr>
      </w:pPr>
      <w:r>
        <w:rPr>
          <w:rFonts w:ascii="Arial" w:cs="Arial" w:eastAsia="Arial" w:hAnsi="Arial"/>
          <w:sz w:val="16"/>
          <w:szCs w:val="16"/>
          <w:color w:val="auto"/>
        </w:rPr>
        <w:t>exon 53-skipping therapeutic approach. We are planning to submit a CTA in</w:t>
      </w:r>
      <w:r>
        <w:rPr>
          <w:sz w:val="20"/>
          <w:szCs w:val="20"/>
          <w:color w:val="auto"/>
        </w:rPr>
        <w:tab/>
      </w:r>
      <w:r>
        <w:rPr>
          <w:rFonts w:ascii="Arial" w:cs="Arial" w:eastAsia="Arial" w:hAnsi="Arial"/>
          <w:sz w:val="14"/>
          <w:szCs w:val="14"/>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Discovery Programs</w:t>
      </w:r>
    </w:p>
    <w:p>
      <w:pPr>
        <w:spacing w:after="0" w:line="90" w:lineRule="exact"/>
        <w:rPr>
          <w:sz w:val="20"/>
          <w:szCs w:val="20"/>
          <w:color w:val="auto"/>
        </w:rPr>
      </w:pPr>
    </w:p>
    <w:p>
      <w:pPr>
        <w:ind w:right="40" w:firstLine="449"/>
        <w:spacing w:after="0" w:line="303" w:lineRule="auto"/>
        <w:rPr>
          <w:sz w:val="20"/>
          <w:szCs w:val="20"/>
          <w:color w:val="auto"/>
        </w:rPr>
      </w:pPr>
      <w:r>
        <w:rPr>
          <w:rFonts w:ascii="Arial" w:cs="Arial" w:eastAsia="Arial" w:hAnsi="Arial"/>
          <w:sz w:val="15"/>
          <w:szCs w:val="15"/>
          <w:color w:val="auto"/>
        </w:rPr>
        <w:t>We have active discovery programs focused on expanding our pipeline in DMD and in neuromuscular diseases. We are screening oligonucleotides for the treatment of DMD patient populations with mutations that are amenable to exon skipping approaches other than exon 51 and exon 53. Our initial discovery work is focused on selection of oligonucleotides for exon 44 and exon 45 skipping product candidates, with these patient subpopulations representing 6% and</w:t>
      </w:r>
    </w:p>
    <w:p>
      <w:pPr>
        <w:spacing w:after="0" w:line="1"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8%, respectively, of the total DMD patient population. We anticipate nominating a candidate for our PGN-EDO44/45 program in . In addition, our PGN-EDONMD program is screening oligonucleotides for several neuromuscular targets. We expect to nominate a candidate from this program by .</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both our DMD and neuromuscular programs we anticipate utilizing a similar preclinical developmental path as for PGN-EDO53, further demonstrating the rapid portfolio augmentation capabilities of our EDO platform. Further, for these programs we intend to leverage the same EDO peptide as has been utilized in our existing pipeline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the Application and Scope of Our EDO Platform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indications with PMO therapeutics</w:t>
      </w:r>
    </w:p>
    <w:p>
      <w:pPr>
        <w:spacing w:after="0" w:line="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leverage our deep understanding of our EDO platform and PMO therapeutics to develop additional product candidates in other indications. We believe the ability of our EDO peptides to deliver exon skipping therapeutics to muscle cells, including cardiac muscle cells, as well as the CNS, is largely independent of the exact sequence of the ASO. As such, by leveraging the preclinical data and the “plug-and-play” nature of our EDO platform, we believe that we are well-positioned to develop additional product candidates with the potential to drive clinically-relevant therapeutic outcomes other neuromuscular as well as neurologic and cardiac diseases. We have observed the potential of this approach with our PGN-EDO53 program, where we anticipate moving from concept through to the initiation of NHP studies in less than a year.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cargos</w:t>
      </w:r>
    </w:p>
    <w:p>
      <w:pPr>
        <w:spacing w:after="0" w:line="90" w:lineRule="exact"/>
        <w:rPr>
          <w:sz w:val="20"/>
          <w:szCs w:val="20"/>
          <w:color w:val="auto"/>
        </w:rPr>
      </w:pPr>
    </w:p>
    <w:p>
      <w:pPr>
        <w:ind w:right="640" w:firstLine="449"/>
        <w:spacing w:after="0" w:line="331" w:lineRule="auto"/>
        <w:rPr>
          <w:sz w:val="20"/>
          <w:szCs w:val="20"/>
          <w:color w:val="auto"/>
        </w:rPr>
      </w:pPr>
      <w:r>
        <w:rPr>
          <w:rFonts w:ascii="Arial" w:cs="Arial" w:eastAsia="Arial" w:hAnsi="Arial"/>
          <w:sz w:val="16"/>
          <w:szCs w:val="16"/>
          <w:color w:val="auto"/>
        </w:rPr>
        <w:t>We believe that our EDO technology has the potential to facilitate the delivery of multiple oligonucleotide therapeutics. To date, our efforts have primarily focused on the delivery of PMOs, but we are now actively pursuing the expansion of our cargo scope to other nucleic acid species.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peptide technologies</w:t>
      </w:r>
    </w:p>
    <w:p>
      <w:pPr>
        <w:spacing w:after="0" w:line="9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intend to further establish our expertise and competitive position in the field of oligonucleotide delivery through the ongoing research and development of new peptides. We will leverage our deep expertise in this field to design new peptides that target specific tissue types and improve our ability to fine-tune peptides for optimal cellular delivery and tissue selectivity.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220" w:firstLine="449"/>
        <w:spacing w:after="0" w:line="294" w:lineRule="auto"/>
        <w:rPr>
          <w:sz w:val="20"/>
          <w:szCs w:val="20"/>
          <w:color w:val="auto"/>
        </w:rPr>
      </w:pPr>
      <w:r>
        <w:rPr>
          <w:rFonts w:ascii="Arial" w:cs="Arial" w:eastAsia="Arial" w:hAnsi="Arial"/>
          <w:sz w:val="16"/>
          <w:szCs w:val="16"/>
          <w:color w:val="auto"/>
        </w:rPr>
        <w:t>We do not own or operate manufacturing facilities, and currently rely on third-party contract manufacturing organizations, or CMOs, and suppliers for the cell-penetrating peptide, linker and oligonucleotide components that compromise our EDOs, and for the conjugation of our product candidates as well as for the manufacturing of the finished dosage form (sterile injectable drug product). We anticipate that we will continue to utilize third-party CMOs and suppliers to support our ongoing and future preclinical, clinical and commercial activities, and our intention is to build this network of organizations as we scale our manufacturing requirements. Long-term, PepGen may also decide to establish internal manufacturing of our drugs or selected intermediates.</w:t>
      </w:r>
    </w:p>
    <w:p>
      <w:pPr>
        <w:spacing w:after="0" w:line="115"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We believe that there are multiple sources for all raw materials employed in the manufacturing of the PepGen drugs, and we believe that several CMOs are able to assemble either the peptide intermediate, the linker, and/or the oligonucleotide as well as the final API.</w:t>
      </w:r>
    </w:p>
    <w:p>
      <w:pPr>
        <w:spacing w:after="0" w:line="132"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There are extensive regulations that govern the manufacturing of biopharmaceutical products, and the third-party manufacturing organizations we work with are required to adhere to these. Our CMOs are required to manufacture our product candidates under current Good Manufacturing Practice, or cGMP, requirements, alongside other applicable laws and regulations.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biopharmaceutical industry is characterized by the rapid evolution and development of new technologies, leading to an environment that is intensely competitive in nature and thus supports the robust protection and defense of intellectual property. Any EDO product candidates that we successfully develop and commercialize will compete both with existing therapeutics, and with new approaches that may arise in the future. While we believe that our unique EDO platform and extensive expertise in oligonucleotide delivery may provide us with a differentiated position in the neuromuscular and neurologic spaces, such competing technologies may arise from many different sources, including large biopharmaceutical organizations, specialty pharmaceutical and biotechnology companies, academic institutions, government agencies, and public and private research organizations.</w:t>
      </w:r>
    </w:p>
    <w:p>
      <w:pPr>
        <w:spacing w:after="0" w:line="120"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We expect to face competition from existing products and product candidates in development for each of our programs. Currently, patients with DMD are treated with corticosteroids to manage the inflammatory component of the disease. EMFLAZA (deflazacort) is an FDA-approved corticosteroid marketed by PTC Therapeutics, Inc., or PTC. People with DMD also use prednisone or prednisolone off-label. In addition, there are four FDA-approved exon skipping drugs: EXONDYS-51 (Eteplirsen), VYONDYS-53 (Golodirsen) and AMONDYS-45 (Casimersen), which are naked PMOs approved for the treatment of DMD patients amenable to exon 51, exon 53 and exon 45 skipping, respectively, and are marketed by Sarepta Therapeutics, Inc., or Sarepta, and VILTEPSO (Viltolarsen), a naked PMO approved for the treatment of DMD patients amenable to exon 53</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skipping, which is marketed in the U.S. by NS Pharma, Inc. Companies focused on developing treatments for DMD that target dystrophin, as our DMD program does, include PTC with ataluren, a small molecule targeting nonsense mutations in a Phase 3 clinical trial, Sarepta with SRP-5051, a peptide-linked PMO currently being evaluated in a Phase 2 clinical trial for patients amenable to exon 51 skipping, Daiichi Sankyo Company, Limited with a Phase 2 exon skipping approach for Exon 45, Dyne Therapeutics, Inc., or Dyne, with antibody-conjugated PMOs targeting skipping of several exons in preclinical development, Wave Life Sciences Ltd. with WVE-N531, a stereopure oligonucleotide in preclinical development for patients amenable to exon 53 skipping, Avidity Biosciences, Inc., or Avidity, which is in preclinical development with an antibody oligonucleotide conjugate that targets dystrophin production, and Entrada Therapeutics, Inc., which is in preclinical development with a peptide-oligonucleotide conjugate that targets dystrophin production.</w:t>
      </w:r>
    </w:p>
    <w:p>
      <w:pPr>
        <w:spacing w:after="0" w:line="118"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In addition, several companies are developing gene therapies to treat DMD, including Pfizer Inc. (PF-06939926), Sarepta (SRP-9001 and Galgt2 gene therapy program), Solid Biosciences Inc. (SGT-001) and REGENXBIO Inc. Astellas Gene Therapies is using AAV gene therapy approaches to skip exons in the dystrophin gene. Gene editing treatments that are in preclinical development are also being pursued by Vertex Pharmaceuticals Incorporated, or Vertex, Sarepta and Eli Lilly and Company. We are also aware of several companies targeting non-dystrophin mechanisms for the treatment of DMD.</w:t>
      </w:r>
    </w:p>
    <w:p>
      <w:pPr>
        <w:spacing w:after="0" w:line="112"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There are currently no approved therapies to treat the underlying cause of DM1. Product candidates currently in development to treat DM1 include: tideglusib, a GSK3-ß inhibitor in late-stage clinical development by AMO Pharma Ltd. for the congenital phenotype of DM1; an antibody linked siRNA in preclinical development by Avidity Biosciences, Inc. that is initiating clinical development soon; AT466, which is an AAV-antisense candidate in preclinical development by Astellas Gene Therapies; an antibody conjugated PMO in preclinical development by Dyne; a microRNA small molecule approach by Arthex Biotech S.L.; an antisense peptide nucleic acid approach by NeuBase Therapeutics, Inc.; gene editing treatments in preclinical development by Vertex; an artificial site-specific RNA endonuclease gene therapy being developed by Enzerna Biosciences Inc.; an RNA-targeting gene therapy in preclinical development by Locana, Inc.; an approach by Design Therapeutics, Inc. to prevent formation of CUG hairpins; small molecules interacting with RNA in preclinical development by Expansion Therapeutics, Inc.; and therapeutics based on biomolecular condensate biology in preclinical development by Dewpoint Therapeutics, Inc.</w:t>
      </w:r>
    </w:p>
    <w:p>
      <w:pPr>
        <w:spacing w:after="0" w:line="119"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We will also compete more generally with other companies developing alternative scientific and technological approaches, including other companies working to develop conjugates with oligonucleotides for extra-hepatic delivery, including Alnylam Pharmaceuticals, Inc., Aro Biotherapeutics Co, Arrowhead Pharmaceuticals, Inc., Avidity, Dicerna Pharmaceuticals, Inc., Dyne, Entrada Therapeutics, Inc., Ionis Pharmaceuticals, Inc., NeuBase Therapeutics, Inc., PYC Therapeutics Limited and Sarepta, as well as gene therapy and gene editing approaches.</w:t>
      </w:r>
    </w:p>
    <w:p>
      <w:pPr>
        <w:spacing w:after="0" w:line="112"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Many of the companies against which we compete with or may compete with in the future have significantly greater financial resources and expertise in research and development, manufacturing, preclinical testing, conducting clinical trials, obtaining regulatory approvals and marketing approved products than we do. Accordingly, our competitors may be more successful than us in research and development, manufacturing, preclinical testing, conducting clinical trials, obtaining approval for treatments and achieving widespread market acceptance, rendering our treatments obsolete or non-competitive.</w:t>
      </w:r>
    </w:p>
    <w:p>
      <w:pPr>
        <w:spacing w:after="0" w:line="112"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Additionally,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of our products, if approved. Competitive products or technological approaches may make any products we develop, or our EDO platform, obsolete or noncompetitive before we recover the expense of developing and commercializing our product candidates. If we are unable to compete effectively, our opportunity to generate revenue from the sale of our products, if approved,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We currently do not have a commercial infrastructure in any geography. As we progress our programs through development, we may build a commercial infrastructure in the United States and selected other territories to support the commercialization of each of our product candidates when we believe a regulatory approval in a particular territory is likely. We intend to conduct market research in connection with designing our commercialization strategy for each of our product candidates, which strategy may depend on the size and geographic dispersion of the target patient population and the characteristics of the prescribing audience for our products, if approved. For example, certain of our product candidates that target diseases with a limited patient population, a concentrated prescribing audience and a small number of key opinion leaders who influence the treatments prescribed for the relevant patient population, we may address each such market using our own targeted, specialty sales and marketing organization supported by internal sales personnel, an internal marketing group and distribution support. For other product candidates, we may establish a larger and more dispersed salesforce, or seek strategic collaborations to support our commercialization efforts.</w:t>
      </w:r>
    </w:p>
    <w:p>
      <w:pPr>
        <w:spacing w:after="0" w:line="119"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We intend to evaluate our commercialization strategy as we advance each product candidate through clinical development. In any core markets outside of the United States that we may identify, where appropriate, we may utilize strategic partners, distributors or contract sales forces to expand the commercial availability of our product candidates.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License of Technology Agreement with Oxford University Innovation Limited and Medical Research Council as Part of United Kingdom Research and Innovation</w:t>
      </w:r>
    </w:p>
    <w:p>
      <w:pPr>
        <w:spacing w:after="0" w:line="51"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On March 26, 2018, we, through our wholly-owned subsidiary PepGen Limited, entered into a license agreement, or the OUI/MRC License, with Oxford University Innovation Limited, or OUI, and Medical Research Council as Part of United Kingdom Research and Innovation, or MRC. We amended the OUI/MRC License on December 21, 2018, and subsequently amended and restated the it on November 23, 2020.</w:t>
      </w:r>
    </w:p>
    <w:p>
      <w:pPr>
        <w:spacing w:after="0" w:line="10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Pursuant to the OUI/MRC License, we obtained from OUI and MRC an exclusive, royalty-bearing, sublicensable with consent (through one tier) license under certain patent rights, or the OUI/MRC Patents, and data, or the OUI/MRC Licensed Technology, and a nonexclusive, royalty-bearing, sublicensable (through one tier) license under certain know-how, or the OUI/MRC Know-How, for certain biological and chemical compounds, including compounds that comprise amino acids and/or nucleic acids relating to our EDO peptides, proprietary linkers and the resulting EDO conjugates. The Licensed Technology is incorporated in our product candidates PGN-EDO51, PGN-EDODM1 and PGN-EDO53, and will likely be utilized in future discovery programs. Under such licenses, we have the right to make, have made, import, use, sell, offer for sale, market, research, develop, trial, register, modify, enhance, improve, manufacture, have manufactured, hold, keep, formulate, optimize, have used, export, transfer, distribute, promote, have sold, dispose of, offer to dispose of or otherwise exploit in all fields of use on a worldwide basis any products or services that incorporate or otherwise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utilize the OUI/MRC Licensed Technology or, in each such case an OUI/MRC Licensed Product. We granted OUI, and those persons who at any time work or have worked on the OUI/MRC Licensed Technology and OUI/MRC Know-How, and MRC an irrevocable, perpetual, royalty-free, sublicensable license under the OUI/MRC Licensed Technology and OUI/MRC Know-How to use the OUI/MRC Licensed Technology and OUI/MRC Know-How for non-commercial clinical, research, teaching, publication, or other scholarly purposes, or Non-Commercial Purposes. MRC also retained the right to grant sublicenses under our rights in the OUI/MRC Licensed Technology and OUI/MRC Know-How for Non-Commercial Purposes to any person at MRC or any academic or not-for-profit institutions who have worked or collaborated on, or otherwise funded, the OUI/MRC Licensed Technology or OUI/MRC Know-How. Further, OUI, MRC and the Chancellor, Masters and Scholars of the University of Oxford retained the right to freely use, publish (subject to certain obligations) or grant licenses under the OUI/MRC Know-How.</w:t>
      </w:r>
    </w:p>
    <w:p>
      <w:pPr>
        <w:spacing w:after="0" w:line="124" w:lineRule="exact"/>
        <w:rPr>
          <w:sz w:val="20"/>
          <w:szCs w:val="20"/>
          <w:color w:val="auto"/>
        </w:rPr>
      </w:pPr>
    </w:p>
    <w:p>
      <w:pPr>
        <w:ind w:right="620" w:firstLine="449"/>
        <w:spacing w:after="0" w:line="331" w:lineRule="auto"/>
        <w:rPr>
          <w:sz w:val="20"/>
          <w:szCs w:val="20"/>
          <w:color w:val="auto"/>
        </w:rPr>
      </w:pPr>
      <w:r>
        <w:rPr>
          <w:rFonts w:ascii="Arial" w:cs="Arial" w:eastAsia="Arial" w:hAnsi="Arial"/>
          <w:sz w:val="16"/>
          <w:szCs w:val="16"/>
          <w:color w:val="auto"/>
        </w:rPr>
        <w:t>The OUI/MRC License requires us to use commercially reasonable efforts to exploit the OUI/MRC Licensed Technology and to achieve certain development milestones in accordance with a development plan and commercialize the OUI/MRC Licensed Products.</w:t>
      </w:r>
    </w:p>
    <w:p>
      <w:pPr>
        <w:spacing w:after="0" w:line="8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consideration for the rights conveyed by OUI and MRC under the OUI/MRC License, we were obligated to pay, and have paid, to OUI certain up-front low- to mid-five-figure fees in connection with the execution of each of the original OUI/MRC License and the amended and restated OUI/MRC License. In addition, we are obligated to pay to OUI sub-single to low, single-digit percentage royalties, or the Royalty Rate, on net sales of any OUI/MRC Licensed Products in excess a of threshold amount between £20 million and £30 million that are commercialized by us. The royalty rate for a given OUI/MRC Licensed Product will decrease a certain percentage following expiration or revocation of the last valid claim of the OUI/MRC Patents covering such OUI/MRC Licensed Product and where there is a product sold by a third party that competes with such OUI/MRC Licensed Product on a country-by-country basis. If we receive any non-royalty payments and royalties in connection with sublicenses or other contracts relating to the OUI/MRC Licensed Technology or OUI/MRC Know-How, we are obligated to pay to OUI, in each instance, a sublicense fee that is from mid single digit to mid teen percentage depending on the license year in which we execute the sublicense or contract. We are also required to pay certain milestone payments to OUI upon the achievement of specified commercial and patent procurement milestones by us or our sublicensees, in an aggregate amount of a low-six-figure fee.</w:t>
      </w:r>
    </w:p>
    <w:p>
      <w:pPr>
        <w:spacing w:after="0" w:line="122" w:lineRule="exact"/>
        <w:rPr>
          <w:sz w:val="20"/>
          <w:szCs w:val="20"/>
          <w:color w:val="auto"/>
        </w:rPr>
      </w:pPr>
    </w:p>
    <w:p>
      <w:pPr>
        <w:ind w:right="220" w:firstLine="449"/>
        <w:spacing w:after="0" w:line="285" w:lineRule="auto"/>
        <w:rPr>
          <w:sz w:val="20"/>
          <w:szCs w:val="20"/>
          <w:color w:val="auto"/>
        </w:rPr>
      </w:pPr>
      <w:r>
        <w:rPr>
          <w:rFonts w:ascii="Arial" w:cs="Arial" w:eastAsia="Arial" w:hAnsi="Arial"/>
          <w:sz w:val="16"/>
          <w:szCs w:val="16"/>
          <w:color w:val="auto"/>
        </w:rPr>
        <w:t>In addition, in the event that we are acquired or undergo an initial public offering, or Exit Event, we are obligated to pay OUI an exit fee, or Exit Fee, equal to a percentage of the value of the Exit Event. In lieu of paying the Exit Fee, we have the option to pay OUI a buy out fee, or Exit Buy Out Fee, which</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can be paid at any time to release us from our obligation to pay the Exit Fee. In connection with this offering, we have agreed to pay the amount of £ in satisfaction of these obligations. We are not obligated to make any payments to MRC directly under the OUI/MRC License. Rather, OUI is obligated to pay MRC a percentage of all amounts we pay to OUI, subject to certain exclusions.</w:t>
      </w:r>
    </w:p>
    <w:p>
      <w:pPr>
        <w:spacing w:after="0" w:line="144"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Unless earlier terminated, the OUI/MRC License will terminate in its entirety upon the later of (a) the date on which all patents and patent applications licensed to us under the OUI/MRC License have been abandoned or allowed to lapse or expired or been rejected or revoked without a right of further appeal in a relevant country or territory or (b) March 26, 2038. We may terminate the OUI/MRC License in its entirety at any time after November 23, 2023 for convenience upon providing OUI and MRC with written notice. Either party may terminate the OUI/MRC License in its entirety for the other party’s uncured material breach after an opportunity for the other party to cure such material breach. OUI and MRC may terminate the OUI/MRC License for our</w:t>
      </w:r>
    </w:p>
    <w:p>
      <w:pPr>
        <w:spacing w:after="0" w:line="2" w:lineRule="exact"/>
        <w:rPr>
          <w:sz w:val="20"/>
          <w:szCs w:val="20"/>
          <w:color w:val="auto"/>
        </w:rPr>
      </w:pPr>
    </w:p>
    <w:p>
      <w:pPr>
        <w:ind w:right="180" w:firstLine="8"/>
        <w:spacing w:after="0" w:line="253" w:lineRule="auto"/>
        <w:tabs>
          <w:tab w:leader="none" w:pos="23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insolvency or if we challenge the validity of the licensed patents, (b) breach our obligation to develop and exploit the technology in accordance with the development plan and subsequent failure to take remedial action reasonably requested by OUI and/or MRC or (c) failure to pay the Exit Fee or Exit Buy Out Fee. If the OUI/MRC License is terminated by either party for any reason, the OUI/MRC Licenses will terminate and all rights thereunder will revert to OUI and MRC, respectively.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320" w:top="459" w:right="3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We seek to protect the intellectual property, or IP, and proprietary technology that we consider important to our business, including by pursuing patent applications that cover our product candidates and methods of using the same, as well as any other relevant inventions and improvements that are considered commercially important to the development of our business. We likewise seek to protect the IP to which we obtain rights through licenses and sublicenses (e.g., from universities and research institutions) and work collaboratively with our licensors to ensure (and if possible be the driver of) patent prosecution and protection. We also rely on trade secrets, know-how and continuing technological innovation to develop and maintain our proprietary and IP positions.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19"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As with other biotechnology and pharmaceutical companies, our ability to maintain and solidify our proprietary and intellectual property position(s) for our product candidates and technologies will depend on our success in obtaining effective patent claims and enforcing those claims if granted. However, our pending provisional and Patent Cooperation Treaty, or PCT, patent applications, and any patent applications that we may in the future file or license from third parties, may not result in the issuance of patents and any issued patents we may obtain do not guarantee us the right to protect our technology in relation to the commercialization of our products. We also cannot predict the breadth of claims that may be allowed or enforced in any patents we may own or in-license in the future. Notwithstanding the scope of the patent protection available to us, a competitor could develop competitive products that are not covered by our intellectual property, and we may be unable to stop such competitor from commercializing such products.</w:t>
      </w:r>
    </w:p>
    <w:p>
      <w:pPr>
        <w:spacing w:after="0" w:line="118"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Any issued patents that we may own or in-license in the future may be challenged, invalidated, circumvented or have the scope of their claims narrowed. Because patent applications can take many years to issue, there may be applications unknown to us, which applications may later result in issued patents that our existing or future products or technologies may be alleged to infringe. Additionally,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United States Patent and Trademark Office, or USPTO, to determine priority of invention, which is highly unpredictable and which could result in substantial costs, even if the eventual outcome is favorable to us. In addition, because of the extensive time required for clinical development and regulatory review of a product candidate we may develop, it is possible that, before any of our product candidates can be commercialized, any patent covering a certain product may expire or remain in force for only a short period following commercialization, thereby limiting the protection such patent would afford the respective product and any competitive advantage such patent may provide.</w:t>
      </w:r>
    </w:p>
    <w:p>
      <w:pPr>
        <w:spacing w:after="0" w:line="119" w:lineRule="exact"/>
        <w:rPr>
          <w:sz w:val="20"/>
          <w:szCs w:val="20"/>
          <w:color w:val="auto"/>
        </w:rPr>
      </w:pPr>
    </w:p>
    <w:p>
      <w:pPr>
        <w:ind w:right="240" w:firstLine="449"/>
        <w:spacing w:after="0" w:line="254" w:lineRule="auto"/>
        <w:rPr>
          <w:sz w:val="20"/>
          <w:szCs w:val="20"/>
          <w:color w:val="auto"/>
        </w:rPr>
      </w:pPr>
      <w:r>
        <w:rPr>
          <w:rFonts w:ascii="Arial" w:cs="Arial" w:eastAsia="Arial" w:hAnsi="Arial"/>
          <w:sz w:val="18"/>
          <w:szCs w:val="18"/>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w:t>
      </w:r>
    </w:p>
    <w:p>
      <w:pPr>
        <w:spacing w:after="0" w:line="147"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320" w:top="459" w:right="3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submission date of an application and the ultimate approval date. The restoration period cannot be longer than five years and the total patent term, including the restoration period, must not exceed 14 years following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In the future, if our product candidates receive approval by the FDA, we expect to apply for patent term extensions on any issued patents covering those products, depending upon the length of the clinical studies for each product and other factors.</w:t>
      </w:r>
    </w:p>
    <w:p>
      <w:pPr>
        <w:spacing w:after="0" w:line="118" w:lineRule="exact"/>
        <w:rPr>
          <w:sz w:val="20"/>
          <w:szCs w:val="20"/>
          <w:color w:val="auto"/>
        </w:rPr>
      </w:pPr>
    </w:p>
    <w:p>
      <w:pPr>
        <w:ind w:right="240" w:firstLine="449"/>
        <w:spacing w:after="0" w:line="285" w:lineRule="auto"/>
        <w:rPr>
          <w:sz w:val="20"/>
          <w:szCs w:val="20"/>
          <w:color w:val="auto"/>
        </w:rPr>
      </w:pPr>
      <w:r>
        <w:rPr>
          <w:rFonts w:ascii="Arial" w:cs="Arial" w:eastAsia="Arial" w:hAnsi="Arial"/>
          <w:sz w:val="16"/>
          <w:szCs w:val="16"/>
          <w:color w:val="auto"/>
        </w:rPr>
        <w:t>There can be no assurance that our pending provisional or PCT patent applications will issue or that we will benefit from any patent term extension or favorable adjustments to the terms of any patents we may own or in-license in the future. In addition, the actual protection afforded by a patent varies on</w:t>
      </w:r>
    </w:p>
    <w:p>
      <w:pPr>
        <w:spacing w:after="0" w:line="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09" w:lineRule="exact"/>
        <w:rPr>
          <w:sz w:val="20"/>
          <w:szCs w:val="20"/>
          <w:color w:val="auto"/>
        </w:rPr>
      </w:pPr>
    </w:p>
    <w:p>
      <w:pPr>
        <w:ind w:right="220" w:firstLine="449"/>
        <w:spacing w:after="0" w:line="290" w:lineRule="auto"/>
        <w:rPr>
          <w:sz w:val="20"/>
          <w:szCs w:val="20"/>
          <w:color w:val="auto"/>
        </w:rPr>
      </w:pPr>
      <w:r>
        <w:rPr>
          <w:rFonts w:ascii="Arial" w:cs="Arial" w:eastAsia="Arial" w:hAnsi="Arial"/>
          <w:sz w:val="16"/>
          <w:szCs w:val="16"/>
          <w:color w:val="auto"/>
        </w:rPr>
        <w:t>In the future, we may need to engage in litigation to enforce patents issued or licensed to us, to protect our trade secrets or know-how or to defend against claims of infringement of the rights of others. Litigation could be costly and could divert our attention from other functions and responsibilities.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could require us to seek licenses from third parties and pay significant royalties to such third parties and could prevent us from manufacturing, selling or using our product or techniques, any of which could severely harm our business.</w:t>
      </w:r>
    </w:p>
    <w:p>
      <w:pPr>
        <w:spacing w:after="0" w:line="118"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As of September 30, 2021, we owned three pending U.S. patent applications and exclusively licensed one issued patent (a European patent validated in France, Germany, Italy, Spain, and Great Britain) and thirty-eight patent applications under our PepGen Limited subsidiary’s license with Oxford University Innovation Limited, or OUI, and Medical Research Council of United Kingdom Research and Innovation, or MRC. For more information regarding our license agreement with OUI and MRC, or OUI/MRC License, see the section titled “Business—Licensing Agreements.”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issued patents and patent applications that cover our product candidates and technology include:</w:t>
      </w:r>
    </w:p>
    <w:p>
      <w:pPr>
        <w:spacing w:after="0" w:line="90" w:lineRule="exact"/>
        <w:rPr>
          <w:sz w:val="20"/>
          <w:szCs w:val="20"/>
          <w:color w:val="auto"/>
        </w:rPr>
      </w:pPr>
    </w:p>
    <w:p>
      <w:pPr>
        <w:ind w:left="880" w:right="40" w:hanging="427"/>
        <w:spacing w:after="0" w:line="294"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With respect to PGN-EDO51, we own two pending U.S. patent applications that cover methods of use and exclusively licensed twenty-seven pending patent applications under the OUI/MRC License that cover compositions of matter and methods of use, including applications in Australia, Brazil, Canada, China, Europe, Israel, India, Japan, South Korea, Mexico, the Russian Federation, Saudi Arabia, and the U.S., as well as a PCT international application. Any patents issuing from the patent applications would have expiration dates ranging from 2039 to 2042, without accounting for any available patent term adjustments or extensions.</w:t>
      </w:r>
    </w:p>
    <w:p>
      <w:pPr>
        <w:spacing w:after="0" w:line="34" w:lineRule="exact"/>
        <w:rPr>
          <w:rFonts w:ascii="Arial" w:cs="Arial" w:eastAsia="Arial" w:hAnsi="Arial"/>
          <w:sz w:val="16"/>
          <w:szCs w:val="16"/>
          <w:color w:val="auto"/>
        </w:rPr>
      </w:pPr>
    </w:p>
    <w:p>
      <w:pPr>
        <w:ind w:left="880" w:right="40" w:hanging="427"/>
        <w:spacing w:after="0" w:line="294"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With respect to PGN-EDODM1, we owned one pending U.S. patent application that covers methods of use and exclusively licensed twenty-seven pending patent applications under the OUI/MRC License that cover compositions of matter and methods of use, including applications in Australia, Brazil, Canada, China, Europe, Israel, India, Japan, South Korea, Mexico, the Russian Federation, Saudi Arabia, and the U.S., as well as a PCT international application. Any patents issuing from the patent applications would have expiration dates ranging from 2039 to 2042, without accounting for any available patent term adjustments or extensions.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right="120" w:hanging="427"/>
        <w:spacing w:after="0" w:line="25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PGN-EDO53, we exclusively licensed twenty-six pending patent applications under the OUI/MRC License that cover compositions of matter and methods of use, including applications in Australia, Brazil, Canada, China, Europe, Israel, India, Japan, South Korea, Mexico, the Russian Federation, Saudi Arabia, and the U.S. Any patents issuing from the patent applications would expire in 2039, without accounting for any available patent term adjustments or extensions.</w:t>
      </w:r>
    </w:p>
    <w:p>
      <w:pPr>
        <w:spacing w:after="0" w:line="61" w:lineRule="exact"/>
        <w:rPr>
          <w:rFonts w:ascii="Arial" w:cs="Arial" w:eastAsia="Arial" w:hAnsi="Arial"/>
          <w:sz w:val="18"/>
          <w:szCs w:val="18"/>
          <w:color w:val="auto"/>
        </w:rPr>
      </w:pPr>
    </w:p>
    <w:p>
      <w:pPr>
        <w:ind w:left="880" w:right="120" w:hanging="427"/>
        <w:spacing w:after="0" w:line="294" w:lineRule="auto"/>
        <w:tabs>
          <w:tab w:leader="none" w:pos="8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 respect to our EDO platform, we exclusively licensed one issued patent and thirty-six pending patent applications under the OUI/MRC License that cover compositions of matter and methods of use, including applications in Australia, Brazil, Canada, China, Europe, Israel, India, Japan, South Korea, Mexico, the Russian Federation, Saudi Arabia, and the U.S. The issued patent is expected to expire in 2035, without accounting for any available patent term adjustments or extensions. Any patents issuing from the patent applications would have expiration dates ranging from 2035 to 2039, without accounting for any available patent term adjustments or extensions.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The FDA and comparable regulatory authorities in state and local jurisdictions and in other countries impose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drugs.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9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90" w:lineRule="exact"/>
        <w:rPr>
          <w:sz w:val="20"/>
          <w:szCs w:val="20"/>
          <w:color w:val="auto"/>
        </w:rPr>
      </w:pPr>
    </w:p>
    <w:p>
      <w:pPr>
        <w:ind w:left="880" w:right="60" w:hanging="427"/>
        <w:spacing w:after="0" w:line="268"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Submission to the FDA of an investigational new drug application, or IND, which must become effective before human clinical trials may begin;</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90" w:lineRule="exact"/>
        <w:rPr>
          <w:rFonts w:ascii="Arial" w:cs="Arial" w:eastAsia="Arial" w:hAnsi="Arial"/>
          <w:sz w:val="18"/>
          <w:szCs w:val="18"/>
          <w:color w:val="auto"/>
        </w:rPr>
      </w:pPr>
    </w:p>
    <w:p>
      <w:pPr>
        <w:ind w:left="880" w:right="140" w:hanging="427"/>
        <w:spacing w:after="0" w:line="268"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requirements to establish the safety and efficacy of the proposed drug product for each proposed indication;</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Submission to the FDA of an NDA after completion of all pivotal trials, together with the payment of application user fees, as applicable;</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marketing application for review;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320" w:top="459" w:right="3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90" w:lineRule="exact"/>
        <w:rPr>
          <w:rFonts w:ascii="Arial" w:cs="Arial" w:eastAsia="Arial" w:hAnsi="Arial"/>
          <w:sz w:val="18"/>
          <w:szCs w:val="18"/>
          <w:color w:val="auto"/>
        </w:rPr>
      </w:pPr>
    </w:p>
    <w:p>
      <w:pPr>
        <w:ind w:left="880" w:hanging="427"/>
        <w:spacing w:after="0" w:line="259"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product’s identity, strength, quality and purity;</w:t>
      </w:r>
    </w:p>
    <w:p>
      <w:pPr>
        <w:spacing w:after="0" w:line="58" w:lineRule="exact"/>
        <w:rPr>
          <w:rFonts w:ascii="Arial" w:cs="Arial" w:eastAsia="Arial" w:hAnsi="Arial"/>
          <w:sz w:val="18"/>
          <w:szCs w:val="18"/>
          <w:color w:val="auto"/>
        </w:rPr>
      </w:pPr>
    </w:p>
    <w:p>
      <w:pPr>
        <w:ind w:left="880" w:hanging="427"/>
        <w:spacing w:after="0"/>
        <w:tabs>
          <w:tab w:leader="none" w:pos="8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Satisfactory completion of FDA audits of clinical trial sites to assure compliance with GCPs and the integrity of the clinical data; and</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90"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 xml:space="preserve">Before testing any drug product candidate, including our product candidates, in humans, the product candidate must undergo rigorous preclinical testing. Preclinical studies include laboratory evaluation of product chemistry, toxicity and formulation,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potential safety and efficacy. The conduct of preclinical studies is subject to federal regulations and requirements, including good laboratory practice regulations for safety/toxicology studies.</w:t>
      </w:r>
    </w:p>
    <w:p>
      <w:pPr>
        <w:spacing w:after="0" w:line="143"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Prior to beginning the first clinical trial with a product candidate in the United States, we must submit an IND to the FDA. An IND sponsor must submit the results of the preclinical tests, together with manufacturing information, analytical data and any available clinical data or literature and plans for clinical studies, among other things, to the FDA as part of an IND. An IND is a request for authorization from the FDA to administer an investigational product to humans and must become effective before human clinical trials may begin. Some preclinical testing, such as animal tests of reproductive adverse events and carcinogenicity,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is initiated at that institution. An IRB is charged with protecting the welfare and rights of trial participants and considers such items as whether the risks to individuals participating in the clinical trials are minimized and are reasonable in relation to anticipated benefits. The IRB also must review and approve the informed consent form that must be provided to each clinical trial subject or his or her legal representative, and must monitor the clinical trial until completion.</w:t>
      </w:r>
    </w:p>
    <w:p>
      <w:pPr>
        <w:spacing w:after="0" w:line="124"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their www.clinicaltrials.gov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90" w:lineRule="exact"/>
        <w:rPr>
          <w:sz w:val="20"/>
          <w:szCs w:val="20"/>
          <w:color w:val="auto"/>
        </w:rPr>
      </w:pPr>
    </w:p>
    <w:p>
      <w:pPr>
        <w:ind w:left="880" w:right="180" w:hanging="427"/>
        <w:spacing w:after="0" w:line="331" w:lineRule="auto"/>
        <w:tabs>
          <w:tab w:leader="none" w:pos="8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5" w:lineRule="exact"/>
        <w:rPr>
          <w:rFonts w:ascii="Arial" w:cs="Arial" w:eastAsia="Arial" w:hAnsi="Arial"/>
          <w:sz w:val="16"/>
          <w:szCs w:val="16"/>
          <w:color w:val="auto"/>
        </w:rPr>
      </w:pPr>
    </w:p>
    <w:p>
      <w:pPr>
        <w:ind w:left="880" w:right="80" w:hanging="427"/>
        <w:spacing w:after="0" w:line="331" w:lineRule="auto"/>
        <w:tabs>
          <w:tab w:leader="none" w:pos="8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 w:lineRule="exact"/>
        <w:rPr>
          <w:rFonts w:ascii="Arial" w:cs="Arial" w:eastAsia="Arial" w:hAnsi="Arial"/>
          <w:sz w:val="16"/>
          <w:szCs w:val="16"/>
          <w:color w:val="auto"/>
        </w:rPr>
      </w:pPr>
    </w:p>
    <w:p>
      <w:pPr>
        <w:ind w:left="880" w:right="220" w:hanging="427"/>
        <w:spacing w:after="0" w:line="256"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 Generally, two adequate and well-controlled Phase 3 clinical trials are required by the FDA for approval of an NDA.</w:t>
      </w:r>
    </w:p>
    <w:p>
      <w:pPr>
        <w:spacing w:after="0" w:line="143" w:lineRule="exact"/>
        <w:rPr>
          <w:sz w:val="20"/>
          <w:szCs w:val="20"/>
          <w:color w:val="auto"/>
        </w:rPr>
      </w:pPr>
    </w:p>
    <w:p>
      <w:pPr>
        <w:jc w:val="both"/>
        <w:ind w:right="380" w:firstLine="449"/>
        <w:spacing w:after="0" w:line="259"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on an NDA.</w:t>
      </w:r>
    </w:p>
    <w:p>
      <w:pPr>
        <w:spacing w:after="0" w:line="140"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Written IND safety reports must be submitted to the FDA and investigators for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NDA Submission and FDA Review and Approval</w:t>
      </w:r>
    </w:p>
    <w:p>
      <w:pPr>
        <w:spacing w:after="0" w:line="90"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for the proposed indication to the satisfaction of the FDA. In most cases, the submission of an NDA is subject to a substantial application user fee; a waiver of such fees may be obtained under certain limited circumstances.</w:t>
      </w:r>
    </w:p>
    <w:p>
      <w:pPr>
        <w:spacing w:after="0" w:line="147"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320" w:top="459" w:right="3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9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Under the Prescription Drug User Fee Act, or PDUFA, guidelines that are currently in effect, the FDA has a goal of ten months from the date of “filing” of a standard NDA, for a new molecular entity to review and act on the submission, and six months from the filing date of a new molecular entity NDA with priority review. Accordingly, this review process typically takes 12 months and eight months, respectively from the date the NDA is submitted to the FDA. The FDA does not always meet its PDUFA goal dates for standard or priority NDAs, and the review process is often extended by FDA requests for additional information or clarification.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20"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In addition, under the Pediatric Research Equity Act of 2003, or PREA, as amended,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who is planning to submit a marketing application for a drug that includes a new active ingredient, new indication, new dosage form, new dosing regimen or new route of administration must submit an initial Pediatric Study Plan, or PSP, within 60 days of an end-of-Phase 2 meeting or, if there is no such meeting, as early as practicable before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23"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 FDA may refer an application for a novel drug or a drug that presents difficult questions of safety or efficacy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43"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The FDA also may require the submission of a Risk Evaluation and Mitigation Strategy, or REMS, if it determines that a REMS is necessary to ensure that the benefits of the drug outweigh its risks and to assure the safe use of the drug. A REMS may include one or more elements, including medication guides, physician communication plans, patient package insert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NDA must submit a proposed REMS. The FDA will not approve the NDA without a REMS, if required.</w:t>
      </w:r>
    </w:p>
    <w:p>
      <w:pPr>
        <w:spacing w:after="0" w:line="115" w:lineRule="exact"/>
        <w:rPr>
          <w:sz w:val="20"/>
          <w:szCs w:val="20"/>
          <w:color w:val="auto"/>
        </w:rPr>
      </w:pPr>
    </w:p>
    <w:p>
      <w:pPr>
        <w:ind w:right="400" w:firstLine="449"/>
        <w:spacing w:after="0" w:line="268"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and facilities are in compliance with cGMP requirements and adequate to assure consistent production of the product within required specifications.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before approving an NDA, the FDA may inspect one or more clinical trial sites to assure compliance with GCP requirements.</w:t>
      </w:r>
    </w:p>
    <w:p>
      <w:pPr>
        <w:spacing w:after="0" w:line="165" w:lineRule="exact"/>
        <w:rPr>
          <w:sz w:val="20"/>
          <w:szCs w:val="20"/>
          <w:color w:val="auto"/>
        </w:rPr>
      </w:pPr>
    </w:p>
    <w:p>
      <w:pPr>
        <w:ind w:right="120" w:firstLine="449"/>
        <w:spacing w:after="0" w:line="288"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generally outlines the deficiencies in the submission and contains a statement of specific conditions that must be met in order to secure final approval of the NDA; it may require additional clinical or preclinical testing in order for FDA to reconsider the application. If a Complete Response Letter is issued, the applicant may either resubmit the NDA, addressing all of the deficiencies identified in the letter, or withdraw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19"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Under the Orphan Drug Act, the FDA may grant orphan designation to a drug product intended to treat a rare disease or condition, which is generally a disease or condition that affects either (i) fewer than 200,000 individuals in the United States, or (ii) more than 200,000 individuals in the United States and for which there is no reasonable expectation that the cost of developing and making the product available in the United States for this type of disease or condition will be recovered from sales of the product. A company must request orphan drug designation before submitting an NDA. If the request is granted, the FDA will disclose the identity of the therapeutic agent and its potential use. Orphan drug designation does not convey any advantage in or shorten the duration of the regulatory review and approval process.</w:t>
      </w:r>
    </w:p>
    <w:p>
      <w:pPr>
        <w:spacing w:after="0" w:line="12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 product exclusivity. Orphan product exclusivity means that the FDA may not approve any other applications to market the same product for the same indication for seven years, except in certain limited circumstances.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drug has exclusivity. Other benefits of orphan drug designation include tax credits for certain research and waiver from the NDA application fee.</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320" w:top="459" w:right="3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90"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112"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The FDA has a Fast Track designation program that is intended to expedite or facilitate the process for reviewing new drugs that meet certain criteria. Specifically, new drugs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that the FDA grant the product Fast Track designation any time before receiving NDA approval, but ideally no later than the pre-NDA meeting. Fast Track designation provides increased opportunities for sponsor interactions with the FDA review team to expedite development and review of the product. The FDA may also review sections of the NDA for a Fast Track designated-product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Fast Track designation may be lost if the designation is no longer supported by data emerging in the clinical trial process.</w:t>
      </w:r>
    </w:p>
    <w:p>
      <w:pPr>
        <w:spacing w:after="0" w:line="119"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Additionally, a drug may be eligible for designation as a breakthrough therapy if the product is intended, alone or in combination with one or more other drugs or biologics, to treat a serious or life- 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Breakthrough therapy designation comes with all of the benefits of Fast Track designation, which means that the sponsor may file sections of the NDA for review on a rolling basis if certain conditions are satisfied, including an agreement with the FDA on the proposed schedule for submission of portions of the application and the payment of applicable user fees before the FDA may initiate a review.</w:t>
      </w:r>
    </w:p>
    <w:p>
      <w:pPr>
        <w:spacing w:after="0" w:line="118"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A product may also be eligible for priority review if it treats a serious or life-threatening condition and, if approved, would provide a significant improvement in safety and effectiveness compared to available therapies. The FDA determines at the time that the marketing application is submitted, on a case-by-case basis, whether the proposed drug represents a significant improvement in treatment, prevention or diagnosis of disease when compared with other available therapies. A priority review designation is intended to direct overall attention and resources to the evaluation of such applications and to shorten the FDA’s goal for taking action on a marketing application from ten months to six months for an NDA for a new molecular entity from the date of filing. If criteria are not met for priority review, the application for a new molecular entity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44" w:lineRule="exact"/>
        <w:rPr>
          <w:sz w:val="20"/>
          <w:szCs w:val="20"/>
          <w:color w:val="auto"/>
        </w:rPr>
      </w:pPr>
    </w:p>
    <w:p>
      <w:pPr>
        <w:ind w:right="380" w:firstLine="449"/>
        <w:spacing w:after="0" w:line="268" w:lineRule="auto"/>
        <w:rPr>
          <w:sz w:val="20"/>
          <w:szCs w:val="20"/>
          <w:color w:val="auto"/>
        </w:rPr>
      </w:pPr>
      <w:r>
        <w:rPr>
          <w:rFonts w:ascii="Arial" w:cs="Arial" w:eastAsia="Arial" w:hAnsi="Arial"/>
          <w:sz w:val="18"/>
          <w:szCs w:val="18"/>
          <w:color w:val="auto"/>
        </w:rPr>
        <w:t>A product may also be eligible for accelerated approval if it treats a serious or life-threatening disease or condition, generally provides a meaningful advantage over available therapies and demonstrates an effect on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accelerated approval, the FDA generally requires that a sponsor perform adequate and well-controlled post-marketing clinical trials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initiate a process to ultimately withdraw the product from the market (and withdraw its approval).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w:t>
      </w:r>
    </w:p>
    <w:p>
      <w:pPr>
        <w:spacing w:after="0" w:line="119" w:lineRule="exact"/>
        <w:rPr>
          <w:sz w:val="20"/>
          <w:szCs w:val="20"/>
          <w:color w:val="auto"/>
        </w:rPr>
      </w:pPr>
    </w:p>
    <w:p>
      <w:pPr>
        <w:ind w:right="60" w:firstLine="449"/>
        <w:spacing w:after="0" w:line="306"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Fast Track designation, Breakthrough Therapy designation, priority review and accelerated approval do not change the standards for approval and may not ultimately expedite the development or approval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Non-Patent Exclusivity</w:t>
      </w:r>
    </w:p>
    <w:p>
      <w:pPr>
        <w:spacing w:after="0" w:line="90"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Market exclusivity provisions under the FDCA can delay the submission or the approval of certain follow-on applications. The FDCA provides a five-year period of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for a generic version of the drug or a 505(b)(2) NDA for another version of such drug where the applicant does not own or have a legal right of reference to all the data required for approval. However, such a follow-on application may be submitted after four years if it contains a certification of patent invalidity or non-infringement to one of the patents listed with the FDA by the innovator NDA holder.</w:t>
      </w:r>
    </w:p>
    <w:p>
      <w:pPr>
        <w:spacing w:after="0" w:line="11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FDCA also provides three years of market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period covers only the conditions of use associated with the new clinical investigations and does not prohibit the FDA from approving follow-on applications that do not reference the protected clinical data.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20" w:lineRule="exact"/>
        <w:rPr>
          <w:sz w:val="20"/>
          <w:szCs w:val="20"/>
          <w:color w:val="auto"/>
        </w:rPr>
      </w:pPr>
    </w:p>
    <w:p>
      <w:pPr>
        <w:ind w:right="20" w:firstLine="449"/>
        <w:spacing w:after="0" w:line="335" w:lineRule="auto"/>
        <w:rPr>
          <w:sz w:val="20"/>
          <w:szCs w:val="20"/>
          <w:color w:val="auto"/>
        </w:rPr>
      </w:pPr>
      <w:r>
        <w:rPr>
          <w:rFonts w:ascii="Arial" w:cs="Arial" w:eastAsia="Arial" w:hAnsi="Arial"/>
          <w:sz w:val="15"/>
          <w:szCs w:val="15"/>
          <w:color w:val="auto"/>
        </w:rPr>
        <w:t>Pediatric exclusivity is another type of regulatory market exclusivity in the United States. Pediatric exclusivity, if granted, adds six months to existing regulatory exclusivity periods or listed patents. This six-month exclusivity may be granted based on the voluntary completion of a pediatric trial in accordance with an FDA-issued “Written Request” for such a trial. The issuance of a Written Request does not require the sponsor to undertake the described clinical trials.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90"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w:t>
      </w:r>
    </w:p>
    <w:p>
      <w:pPr>
        <w:spacing w:after="0" w:line="140" w:lineRule="exact"/>
        <w:rPr>
          <w:sz w:val="20"/>
          <w:szCs w:val="20"/>
          <w:color w:val="auto"/>
        </w:rPr>
      </w:pPr>
    </w:p>
    <w:p>
      <w:pPr>
        <w:ind w:firstLine="449"/>
        <w:spacing w:after="0" w:line="331" w:lineRule="auto"/>
        <w:rPr>
          <w:sz w:val="20"/>
          <w:szCs w:val="20"/>
          <w:color w:val="auto"/>
        </w:rPr>
      </w:pPr>
      <w:r>
        <w:rPr>
          <w:rFonts w:ascii="Arial" w:cs="Arial" w:eastAsia="Arial" w:hAnsi="Arial"/>
          <w:sz w:val="16"/>
          <w:szCs w:val="16"/>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87"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FDA regulations require that products be manufactured in specific facilities and in accordance with cGMP regulations which require, among other things, quality control and quality assurance, the maintenance of records and documentation and the obligation to investigate and correct any deviations from cGMP.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Manufacturers and other parties involved in the drug supply chain for prescription drug products must also comply with product tracking and tracing requirements and for notifying FDA of counterfeit, diverted, stolen and intentionally adulterated products or products that are otherwise unfit for distribution in the United States.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Manufacturers and other parties involved in the drug supply chain for prescription drug products must also comply with product tracking and tracing requirements and for notifying FDA of counterfeit, diverted, stolen and intentionally adulterated products or products that are otherwise unfit for distribution in the United States.</w:t>
      </w:r>
    </w:p>
    <w:p>
      <w:pPr>
        <w:spacing w:after="0" w:line="123"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Any of these limitations on approval or marketing could restrict the commercial promotion, distribution, prescription or dispensing of products. Other potential consequences include, among other things:</w:t>
      </w:r>
    </w:p>
    <w:p>
      <w:pPr>
        <w:spacing w:after="0" w:line="39" w:lineRule="exact"/>
        <w:rPr>
          <w:sz w:val="20"/>
          <w:szCs w:val="20"/>
          <w:color w:val="auto"/>
        </w:rPr>
      </w:pPr>
    </w:p>
    <w:p>
      <w:pPr>
        <w:ind w:left="880" w:hanging="427"/>
        <w:spacing w:after="0"/>
        <w:tabs>
          <w:tab w:leader="none" w:pos="8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Fines, warning letters or clinical holds on post-approval clinical trials;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withdrawal of product approvals;</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90" w:lineRule="exact"/>
        <w:rPr>
          <w:rFonts w:ascii="Arial" w:cs="Arial" w:eastAsia="Arial" w:hAnsi="Arial"/>
          <w:sz w:val="18"/>
          <w:szCs w:val="18"/>
          <w:color w:val="auto"/>
        </w:rPr>
      </w:pPr>
    </w:p>
    <w:p>
      <w:pPr>
        <w:ind w:left="880" w:right="840" w:hanging="427"/>
        <w:spacing w:after="0" w:line="268"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Issuance of safety alerts, Dear Healthcare Provider letters, press releases and other communications containing warnings or other safety information about the product; and</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Regulation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90"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coverage and reimbursement for medical products, drugs and services.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4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U.S. government, state legislatures and foreign governments have also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 and Legislative Updates</w:t>
      </w:r>
    </w:p>
    <w:p>
      <w:pPr>
        <w:spacing w:after="0" w:line="90" w:lineRule="exact"/>
        <w:rPr>
          <w:sz w:val="20"/>
          <w:szCs w:val="20"/>
          <w:color w:val="auto"/>
        </w:rPr>
      </w:pPr>
    </w:p>
    <w:p>
      <w:pPr>
        <w:jc w:val="both"/>
        <w:ind w:right="140" w:firstLine="449"/>
        <w:spacing w:after="0" w:line="298" w:lineRule="auto"/>
        <w:rPr>
          <w:sz w:val="20"/>
          <w:szCs w:val="20"/>
          <w:color w:val="auto"/>
        </w:rPr>
      </w:pPr>
      <w:r>
        <w:rPr>
          <w:rFonts w:ascii="Arial" w:cs="Arial" w:eastAsia="Arial" w:hAnsi="Arial"/>
          <w:sz w:val="16"/>
          <w:szCs w:val="16"/>
          <w:color w:val="auto"/>
        </w:rPr>
        <w:t>In the United States, 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contained a number of provisions, including those governing enrollment in federal healthcare programs, reimbursement adjustments and changes to fraud and abuse laws. For example, the ACA:</w:t>
      </w:r>
    </w:p>
    <w:p>
      <w:pPr>
        <w:spacing w:after="0" w:line="31" w:lineRule="exact"/>
        <w:rPr>
          <w:sz w:val="20"/>
          <w:szCs w:val="20"/>
          <w:color w:val="auto"/>
        </w:rPr>
      </w:pPr>
    </w:p>
    <w:p>
      <w:pPr>
        <w:ind w:left="880" w:right="920" w:hanging="427"/>
        <w:spacing w:after="0" w:line="268"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increased the minimum level of Medicaid rebates payable by manufacturers of brand name drugs from 15.1% to 23.1% of the average manufacturer price;</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required collection of rebates for drugs paid by Medicaid managed care organizations;</w:t>
      </w:r>
    </w:p>
    <w:p>
      <w:pPr>
        <w:spacing w:after="0" w:line="90" w:lineRule="exact"/>
        <w:rPr>
          <w:rFonts w:ascii="Arial" w:cs="Arial" w:eastAsia="Arial" w:hAnsi="Arial"/>
          <w:sz w:val="18"/>
          <w:szCs w:val="18"/>
          <w:color w:val="auto"/>
        </w:rPr>
      </w:pPr>
    </w:p>
    <w:p>
      <w:pPr>
        <w:ind w:left="880" w:hanging="427"/>
        <w:spacing w:after="0" w:line="256"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required manufacturers to participate in a coverage gap discount program, under which they must agree to offer 70 percent (increased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w:t>
      </w:r>
    </w:p>
    <w:p>
      <w:pPr>
        <w:spacing w:after="0" w:line="61" w:lineRule="exact"/>
        <w:rPr>
          <w:rFonts w:ascii="Arial" w:cs="Arial" w:eastAsia="Arial" w:hAnsi="Arial"/>
          <w:sz w:val="18"/>
          <w:szCs w:val="18"/>
          <w:color w:val="auto"/>
        </w:rPr>
      </w:pPr>
    </w:p>
    <w:p>
      <w:pPr>
        <w:ind w:left="880" w:right="360" w:hanging="427"/>
        <w:spacing w:after="0" w:line="268"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imposed a non-deductible annual fee on pharmaceutical manufacturers or importers who sell “branded prescription drugs” to specified federal government programs.</w:t>
      </w:r>
    </w:p>
    <w:p>
      <w:pPr>
        <w:spacing w:after="0" w:line="132"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Other legislative changes have been proposed and adopted since the ACA was enacted, including aggregate reductions of Medicare payments to providers of 2% per fiscal year, which was temporarily suspended from May 1, 2020 through December 31, 2021 due to the COVID-19 pandemic.</w:t>
      </w:r>
    </w:p>
    <w:p>
      <w:pPr>
        <w:spacing w:after="0" w:line="147" w:lineRule="exact"/>
        <w:rPr>
          <w:sz w:val="20"/>
          <w:szCs w:val="20"/>
          <w:color w:val="auto"/>
        </w:rPr>
      </w:pPr>
    </w:p>
    <w:p>
      <w:pPr>
        <w:ind w:right="140" w:firstLine="449"/>
        <w:spacing w:after="0" w:line="288"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proposed and enacted legislation and executive orders issued by the former Trump administration designed to, among other things, bring more transparency to product pricing, review the relationship between pricing and manufacturer patient programs, and reform government program reimbursement methodologies for drug products. The likelihood of success of these and other measures initiated by the former Trump administration is uncertain, particularly in light of the new Biden administration. It is also possible that additional governmental action is taken in response to the COVID-19 pandemic.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4"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90"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459" w:right="3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Continuing to address the compliance requirements of the GDPR is a rigorous and time-intensive process that may increase the cost of doing business or require us to change our business practices to ensure full compliance.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9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On June 23, 2016, the electorate in the United Kingdom voted in favor of leaving the EU, commonly referred to as Brexit, and the United Kingdom formally left the EU on January 31, 2020. There was a transition period during which EU pharmaceutical laws continued to apply to the United Kingdom, which expired on December 31, 2020. However,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cGMP, inspections of manufacturing facilities for medicinal products and cGMP documents issued, but does not foresee wholesale mutual recognition of United Kingdom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however it is possible that these regimes will diverge in future now that Great Britain’s regulatory system is independent from the EU and the TCA does not provide for mutual recognition of United Kingdom and EU pharmaceutical legislation.</w:t>
      </w:r>
    </w:p>
    <w:p>
      <w:pPr>
        <w:spacing w:after="0" w:line="122" w:lineRule="exact"/>
        <w:rPr>
          <w:sz w:val="20"/>
          <w:szCs w:val="20"/>
          <w:color w:val="auto"/>
        </w:rPr>
      </w:pPr>
    </w:p>
    <w:p>
      <w:pPr>
        <w:ind w:right="60" w:firstLine="449"/>
        <w:spacing w:after="0" w:line="298" w:lineRule="auto"/>
        <w:rPr>
          <w:sz w:val="20"/>
          <w:szCs w:val="20"/>
          <w:color w:val="auto"/>
        </w:rPr>
      </w:pPr>
      <w:r>
        <w:rPr>
          <w:rFonts w:ascii="Arial" w:cs="Arial" w:eastAsia="Arial" w:hAnsi="Arial"/>
          <w:sz w:val="16"/>
          <w:szCs w:val="16"/>
          <w:color w:val="auto"/>
        </w:rPr>
        <w:t>Furthermore, while the Data Protection Act of 2018 in the United Kingdom that “implements” and complements the EU’s GDPR, and is effective in the United Kingdom. On June 28, 2021, the European Commission adopts an adequacy decision in respect of transfers of personal data to the United Kingdom for a four-year period (until 27 June 2025). Similarly, the United Kingdom has determined that it considers all of the EU and EEA Member States to be adequate for the purposes of data protection. This ensures that data flows between the United Kingdom and the EU and EEA remain unaffected.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9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459"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90"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For other countries outside of Canada,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43" w:lineRule="exact"/>
        <w:rPr>
          <w:sz w:val="20"/>
          <w:szCs w:val="20"/>
          <w:color w:val="auto"/>
        </w:rPr>
      </w:pPr>
    </w:p>
    <w:p>
      <w:pPr>
        <w:ind w:right="440" w:firstLine="449"/>
        <w:spacing w:after="0" w:line="268"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96"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As of June 30, 2021, we had 12 full-time employees, of which seven have M.D. or Ph.D. degrees, and no part-time employees. Within our workforce, nine employees are engaged in research and development and three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43"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stockholder value and the success of our company by motivating such individuals to perform to the best of their abilities and achieve our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We primarily operate out of approximately 800 square feet of office space located at 245 Main Street, Cambridge, Massachusetts 02142, and lease and occupy approximately 300 square feet of laboratory space at Ipsen Innovation Center BioLabs, 650 E. Kendall St, Cambridge, Massachusetts. The current terms for each of these leases is month-to-month, with a 30-day written notice of cancellation. We are currently in negotiations for office space located in Boston, Massachusetts that is suitable for our business. In addition, we have executed a lease for 6,000 square feet of laboratory space at 106B South Street in Hopkinton, Massachusetts, which is expected to commence on December 1, 2021 and expires on November 30, 2026.</w:t>
      </w:r>
    </w:p>
    <w:p>
      <w:pPr>
        <w:spacing w:after="0" w:line="115" w:lineRule="exact"/>
        <w:rPr>
          <w:sz w:val="20"/>
          <w:szCs w:val="20"/>
          <w:color w:val="auto"/>
        </w:rPr>
      </w:pPr>
    </w:p>
    <w:p>
      <w:pPr>
        <w:ind w:right="180" w:firstLine="449"/>
        <w:spacing w:after="0" w:line="268" w:lineRule="auto"/>
        <w:rPr>
          <w:sz w:val="20"/>
          <w:szCs w:val="20"/>
          <w:color w:val="auto"/>
        </w:rPr>
      </w:pPr>
      <w:r>
        <w:rPr>
          <w:rFonts w:ascii="Arial" w:cs="Arial" w:eastAsia="Arial" w:hAnsi="Arial"/>
          <w:sz w:val="18"/>
          <w:szCs w:val="18"/>
          <w:color w:val="auto"/>
        </w:rPr>
        <w:t>We also lease and occupy approximately 900 laboratory space at Innovation Building, University of Oxford, Roosevelt Drive, Oxford, OX3 7FZ. This laboratory space is currently “at-will”.</w:t>
      </w:r>
    </w:p>
    <w:p>
      <w:pPr>
        <w:spacing w:after="0" w:line="132"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business.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position of each of our executives and directors as of September 30,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366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580" w:type="dxa"/>
            <w:vAlign w:val="bottom"/>
            <w:gridSpan w:val="3"/>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81"/>
        </w:trPr>
        <w:tc>
          <w:tcPr>
            <w:tcW w:w="4120" w:type="dxa"/>
            <w:vAlign w:val="bottom"/>
            <w:gridSpan w:val="2"/>
          </w:tcPr>
          <w:p>
            <w:pPr>
              <w:spacing w:after="0" w:line="182" w:lineRule="exact"/>
              <w:rPr>
                <w:sz w:val="20"/>
                <w:szCs w:val="20"/>
                <w:color w:val="auto"/>
              </w:rPr>
            </w:pPr>
            <w:r>
              <w:rPr>
                <w:rFonts w:ascii="Arial" w:cs="Arial" w:eastAsia="Arial" w:hAnsi="Arial"/>
                <w:sz w:val="18"/>
                <w:szCs w:val="18"/>
                <w:b w:val="1"/>
                <w:bCs w:val="1"/>
                <w:i w:val="1"/>
                <w:iCs w:val="1"/>
                <w:color w:val="auto"/>
              </w:rPr>
              <w:t>Executive Officers: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James McArthur,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Niels Svenstrup,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w w:val="88"/>
              </w:rPr>
              <w:t>Senior Vice President Chemistry, Manufacturing and Controls</w:t>
            </w:r>
          </w:p>
        </w:tc>
      </w:tr>
      <w:tr>
        <w:trPr>
          <w:trHeight w:val="318"/>
        </w:trPr>
        <w:tc>
          <w:tcPr>
            <w:tcW w:w="4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Christopher Ashton,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Ramin Farzaneh-Far,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 and Acting Chief Medical Officer</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Joshua Resnick, M.D., M.B.A.</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Heidi Henson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45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886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20" w:lineRule="exact"/>
        <w:rPr>
          <w:sz w:val="20"/>
          <w:szCs w:val="20"/>
          <w:color w:val="auto"/>
        </w:rPr>
      </w:pPr>
    </w:p>
    <w:p>
      <w:pPr>
        <w:ind w:left="440" w:hanging="432"/>
        <w:spacing w:after="0"/>
        <w:tabs>
          <w:tab w:leader="none" w:pos="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11" w:lineRule="exact"/>
        <w:rPr>
          <w:rFonts w:ascii="Arial" w:cs="Arial" w:eastAsia="Arial" w:hAnsi="Arial"/>
          <w:sz w:val="13"/>
          <w:szCs w:val="13"/>
          <w:color w:val="auto"/>
        </w:rPr>
      </w:pPr>
    </w:p>
    <w:p>
      <w:pPr>
        <w:ind w:left="440" w:hanging="432"/>
        <w:spacing w:after="0"/>
        <w:tabs>
          <w:tab w:leader="none" w:pos="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ind w:left="440" w:hanging="432"/>
        <w:spacing w:after="0"/>
        <w:tabs>
          <w:tab w:leader="none" w:pos="4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151"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b w:val="1"/>
          <w:bCs w:val="1"/>
          <w:i w:val="1"/>
          <w:iCs w:val="1"/>
          <w:color w:val="auto"/>
        </w:rPr>
        <w:t>James McArthur, Ph.D.</w:t>
      </w:r>
      <w:r>
        <w:rPr>
          <w:rFonts w:ascii="Arial" w:cs="Arial" w:eastAsia="Arial" w:hAnsi="Arial"/>
          <w:sz w:val="16"/>
          <w:szCs w:val="16"/>
          <w:color w:val="auto"/>
        </w:rPr>
        <w:t>, has served as our President and Chief Executive Officer and a member of our board of directors since January 2021.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August 2020 to May 2021, Dr. McArthur served as a Venture Partner at RA Capital Management, L.P., an investment company. Dr. McArthur co-founded Imara Inc., a clinical-stage biopharmaceutical company, where he served as President and Chief Executive Officer from January 2016 to May 2018, and on the board of directors from January 2016 to April 2020. He was also a founder of Vtesse Inc. in 2015, a pharmaceutical company, which was acquired by Sucampo, Inc. in April 2017, Tiburio Therapeutics, Inc., a biopharmaceutical company, in 2018 and Cydan Development, Inc., a pharmaceutical company, in 2013, and served as a member of the board of directors of Nightstar Therapeutics, a public gene therapy company that was acquired by Biogen in June 2019. Prior, Dr. McArthur was an Entrepreneur-in-Residence at HealthCare Ventures LLC, a life science venture capital firm, and was the founding employee and Chief Scientific Officer of Synovex Corporation, which was renamed Adheron Therapeutics, Inc., or Adheron, a biotechnology company, from June 2006 to September 2012 (which was acquired by F. Hoffmann-La Roche AG in October 2015), and a consultant to Adheron from September 2012 to January 2015. Dr. McArthur currently serves as a member of the board of directors and Scientific Advisory Board of the Friedreich’s Ataxia Research Alliance (FARA), a leading patient advocacy group and formerly served on the board of directors of T-Cure Biosciences Inc, a biotechnology company, from April 2020 to September 2020. Dr. McArthur obtained his Ph.D. in molecular oncology at McGill University of Montreal and was a post-doctoral fellow studying immunology at Massachusetts Institute of Technology and the University of California, Berkeley. Dr. McArthur received his B.Sc. in biochemistry from McGill University. We believe Dr. McArthur is qualified to serve on our board of directors due to his extensive experience in the life sciences industry and his position as our President and Chief Executive Officer.</w:t>
      </w:r>
    </w:p>
    <w:p>
      <w:pPr>
        <w:spacing w:after="0" w:line="125"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b w:val="1"/>
          <w:bCs w:val="1"/>
          <w:i w:val="1"/>
          <w:iCs w:val="1"/>
          <w:color w:val="auto"/>
        </w:rPr>
        <w:t>Niels Svenstrup, Ph.D.</w:t>
      </w:r>
      <w:r>
        <w:rPr>
          <w:rFonts w:ascii="Arial" w:cs="Arial" w:eastAsia="Arial" w:hAnsi="Arial"/>
          <w:sz w:val="16"/>
          <w:szCs w:val="16"/>
          <w:color w:val="auto"/>
        </w:rPr>
        <w:t>, has served as our Senior Vice President of Chemistry, Manufacturing and Controls since April 2021. Previously, from July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April 2021, Dr. Svenstrup served as Vice President of Development and, subsequently, as Senior Vice President of Development at Cydan II, Inc., a privately-held orphan drug accelerator. From November 2015 until July 2017, Dr. Svenstrup served as Director of CMC 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Ascendis Pharma A/S, a biopharmaceutical company. Prior to that, Dr. Svenstrup served as Head of Department, Medicinal Chemistry, at H. Lundbeck, from May 2008 to November 2015, and at Bayer Pharmaceutical from December 2000 to May 2008 in various research and development leadership</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roles. Dr. Svenstrup performed postdoctoral research at The Scripps Research Institute. He received a Ph.D. in Organic Chemistry and an M.Sc. in Chemistry and Cell Biology from the University of Southern Denmark.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90"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b w:val="1"/>
          <w:bCs w:val="1"/>
          <w:i w:val="1"/>
          <w:iCs w:val="1"/>
          <w:color w:val="auto"/>
        </w:rPr>
        <w:t>Christopher Ashton, Ph.D</w:t>
      </w:r>
      <w:r>
        <w:rPr>
          <w:rFonts w:ascii="Arial" w:cs="Arial" w:eastAsia="Arial" w:hAnsi="Arial"/>
          <w:sz w:val="16"/>
          <w:szCs w:val="16"/>
          <w:color w:val="auto"/>
        </w:rPr>
        <w:t>. has served as a member of our board of directors since December 2019. Since December 2019, Dr. Ashton has served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 to Oxford Science Enterprises plc. Dr. Ashton served as chairman of the board of directors of MacrophOx Limited, a drug discovery company, from October 2018 until August 2020. Previously, from March 2016 until February 2018, Dr. Ashton was a partner at Syncona Investment Management Limited, an investment company, and from May 2016 through January 2018, as Chief Executive Officer of Achilles Therapeutics Limited, a biopharmaceutical company. Dr. Ashton currently serves on the board of directors of OMass Therapeutics, a privately-held biotechnology company. Dr. Ashton carried out post-doctoral research at the Massachusetts Institute of Technology and has a Ph.D. in Organic Chemistry and a Bachelor of Science in Biochemistry from The University of Manchester. We believe Dr. Ashton’s industry experience provides him with the appropriate set of skills to serve as a member of our board of directors.</w:t>
      </w:r>
    </w:p>
    <w:p>
      <w:pPr>
        <w:spacing w:after="0" w:line="11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b w:val="1"/>
          <w:bCs w:val="1"/>
          <w:i w:val="1"/>
          <w:iCs w:val="1"/>
          <w:color w:val="auto"/>
        </w:rPr>
        <w:t xml:space="preserve">Ramin Farzaneh-Far, M.D. </w:t>
      </w:r>
      <w:r>
        <w:rPr>
          <w:rFonts w:ascii="Arial" w:cs="Arial" w:eastAsia="Arial" w:hAnsi="Arial"/>
          <w:sz w:val="16"/>
          <w:szCs w:val="16"/>
          <w:color w:val="auto"/>
        </w:rPr>
        <w:t>has served as Executive Chairman of our board of directors and in a non-employee advisory role as our Acting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Officer since December 2020. Since June 2020, Dr. Farzaneh-Far has served as a venture partner at RA Capital Management, L.P., an investment firm. Previously, from July 2016 until April 2020, Dr. Farzaneh-Far served as Chief Medical Officer of Ra Pharmaceuticals, Inc., a clinical-stage biopharmaceutical company. From August 2015 to July 2016, he served as the Vice President of Medical Research at Akebia Therapeutics, Inc. From 2012 to 2015, Dr. Farzaneh-Far served as the Director of Clinical Research at Gilead Sciences, Inc., a biotechnology company, where he led the clinical development of multiple assets in the cardiovascular therapeutic area. Dr. Farzaneh-Far held various academic faculty positions at the University of California, San Francisco, or UCSF, and the University of Texas Southwestern Medical Center from 2009 to 2012. He completed his internal medicine residency at Brigham &amp; Women’s Hospital in Boston and trained in cardiovascular medicine at UCSF. Dr. Farzaneh-Far received his B.A. and M.A. degrees in immunology from the University of Cambridge, his M.D. from University College London, and his MAS in Clinical Research from UCSF. We believe Dr. Farzaneh-Far is qualified to serve on our board of directors due to his experience in the industry in which we operate and his position as our Acting Chief Medical Officer.</w:t>
      </w:r>
    </w:p>
    <w:p>
      <w:pPr>
        <w:spacing w:after="0" w:line="122" w:lineRule="exact"/>
        <w:rPr>
          <w:sz w:val="20"/>
          <w:szCs w:val="20"/>
          <w:color w:val="auto"/>
        </w:rPr>
      </w:pPr>
    </w:p>
    <w:p>
      <w:pPr>
        <w:ind w:right="40" w:firstLine="449"/>
        <w:spacing w:after="0" w:line="301" w:lineRule="auto"/>
        <w:rPr>
          <w:sz w:val="20"/>
          <w:szCs w:val="20"/>
          <w:color w:val="auto"/>
        </w:rPr>
      </w:pPr>
      <w:r>
        <w:rPr>
          <w:rFonts w:ascii="Arial" w:cs="Arial" w:eastAsia="Arial" w:hAnsi="Arial"/>
          <w:sz w:val="15"/>
          <w:szCs w:val="15"/>
          <w:b w:val="1"/>
          <w:bCs w:val="1"/>
          <w:i w:val="1"/>
          <w:iCs w:val="1"/>
          <w:color w:val="auto"/>
        </w:rPr>
        <w:t xml:space="preserve">Joshua Resnick, M.D., M.B.A. </w:t>
      </w:r>
      <w:r>
        <w:rPr>
          <w:rFonts w:ascii="Arial" w:cs="Arial" w:eastAsia="Arial" w:hAnsi="Arial"/>
          <w:sz w:val="15"/>
          <w:szCs w:val="15"/>
          <w:color w:val="auto"/>
        </w:rPr>
        <w:t>has served as a member of our board of directors since November 2020. Dr. Resnick has served as a Managing Director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 RA Capital Management, L.P., a life sciences investment advisor, since October 2018. Dr. Resnick previously served as a Partner at SV Health Investors from January 2016 to September 2018 and as President and Managing Partner at MRL Ventures Fund, an early-stage therapeutics-focused corporate venture fund that he built and managed within Merck &amp; Co., from 2014 to January 2016. Dr. Resnick is on staff in the Department of Emergency Medicine at Massachusetts General Hospital. Dr. Resnick has served on the board of directors of Vor Biopharma Inc. (NASDAQ: VOR) since February 2019 and Aerovate Therapeutics, Inc. (NASDAQ: AVTE) since August 2020 (and previously from October 2018 to February 2020) and previously served on the boards of directors of Kalvista Pharmaceuticals, Inc. and Avrobio, Inc. from November 2016 to September 2018 and July 2016 to September 2018, respectively.</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Dr. Resnick received a B.A. in chemistry from Williams College, an M.D. from the University of Pennsylvania School of Medicine and an M.B.A. from The Wharton School of the University of Pennsylvania. We believe Dr. Resnick’s industry and investor experience provides him with the appropriate set of skills to serve as a member of our board of directors.</w:t>
      </w:r>
    </w:p>
    <w:p>
      <w:pPr>
        <w:spacing w:after="0" w:line="138" w:lineRule="exact"/>
        <w:rPr>
          <w:sz w:val="20"/>
          <w:szCs w:val="20"/>
          <w:color w:val="auto"/>
        </w:rPr>
      </w:pPr>
    </w:p>
    <w:p>
      <w:pPr>
        <w:ind w:right="800" w:firstLine="449"/>
        <w:spacing w:after="0" w:line="275" w:lineRule="auto"/>
        <w:rPr>
          <w:sz w:val="20"/>
          <w:szCs w:val="20"/>
          <w:color w:val="auto"/>
        </w:rPr>
      </w:pPr>
      <w:r>
        <w:rPr>
          <w:rFonts w:ascii="Arial" w:cs="Arial" w:eastAsia="Arial" w:hAnsi="Arial"/>
          <w:sz w:val="18"/>
          <w:szCs w:val="18"/>
          <w:b w:val="1"/>
          <w:bCs w:val="1"/>
          <w:i w:val="1"/>
          <w:iCs w:val="1"/>
          <w:color w:val="auto"/>
        </w:rPr>
        <w:t>Heidi Henson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member of our board of directors since July 2021. Ms. Henson has served as Chief Financial Officer of Pardes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Biosciences Inc., a privately-held clinical-stage biopharmaceutical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since January 2021. From April 2019 to July 2020, Ms. Henson served as Chief Financial Officer of Imbria Pharmaceuticals, Inc., a privately-held biotechnology company, and from November 2018 to April 2019 she served as Chief Financial Officer of Respivant Sciences, a privately-held clinical-stage biopharmaceutical company. From October 2014 to July 2018, Ms. Henson served as Chief Financial Officer of Kura Oncology, Inc., a public biopharmaceutical company. Ms. Henson also served as Chief Financial Officer of Wellspring Biosciences, Inc., a privately-held biopharmaceutical company, and its parent company Araxes Pharma LLC, from July 2012 to July 2018, and served as Secretary of Wellspring and Araxes from July 2012 to January 2015. From 2007 to March 2012, Ms. Henson served as the Vice President, Finance at Intellikine, Inc., a privately-held biopharmaceutical company, until its acquisition by Takeda Pharmaceutical Company Limited. Ms. Henson previously served as an independent financial consultant for several years assisting with various start-up activities for early stage companies, SEC reporting and Sarbanes-Oxley implementation and compliance. Ms. Henson previously served as Director of Finance at Anadys Pharmaceuticals, Inc., a publicly-held biopharmaceutical company, and held a number of management positions with Fair Isaac &amp; Co., Inc. (formally HNC Software, Inc.), a publicly-held software company. Ms. Henson began her career in auditing at PricewaterhouseCoopers LLP, a public accounting firm, where she served both public and private companies. Ms. Henson currently serves on the board of directors of Cend Therapeutics, Inc., a privately-held clinical-stage biotechnology company. She received a Bachelor’s of Accountancy from the University of San Diego and is a Certified Public Accountant (inactive) in the state of California. We believe Ms. Henson is qualified to serve on our board of directors due to her extensive finance experience and experience serving as an executive of several companies in the life sciences industry.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96"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Our board consists of five members, each of whom are members pursuant to the board composition provisions of our certificate of incorporation and agreements with our stockholders, and is chaired by Dr. Farzaneh-Far.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that will become effective upon the closing of this offering and amended and restated bylaws that will become effective upon the effectiveness of the registration statement of which this prospectus is a part,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apply to list our common stock on The Nasdaq Global Market. 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Exchange Act, and compensation committee members must also satisfy the independence criteria set forth in Rule 10C-1 under the Exchange Act. Under Nasdaq listing rules, a director will only qualify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2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Our board of directors has determined that all members of the board of directors, except Dr. McArthur, are independent directors, including for purposes of the rules of The Nasdaq Global Market and the SEC. In making such independence determinations,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Dr. McArthur is not an independent director under these rules because is our President and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9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In accordance with the terms of our amended and restated certificate of incorporation that will become effective upon the closing of this offering and amended and restated bylaws that will become effective upon the effectiveness of the registration statement of which this prospectus is a part,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2022 for Class I directors, 2023 for Class II directors and 2024 for Class III directors.</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Our Class I directors will be</w:t>
            </w:r>
          </w:p>
        </w:tc>
        <w:tc>
          <w:tcPr>
            <w:tcW w:w="82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Our Class II directors will be</w:t>
            </w:r>
          </w:p>
        </w:tc>
        <w:tc>
          <w:tcPr>
            <w:tcW w:w="82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29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tcPr>
          <w:p>
            <w:pPr>
              <w:ind w:left="180"/>
              <w:spacing w:after="0"/>
              <w:rPr>
                <w:sz w:val="20"/>
                <w:szCs w:val="20"/>
                <w:color w:val="auto"/>
              </w:rPr>
            </w:pPr>
            <w:r>
              <w:rPr>
                <w:rFonts w:ascii="Arial" w:cs="Arial" w:eastAsia="Arial" w:hAnsi="Arial"/>
                <w:sz w:val="18"/>
                <w:szCs w:val="18"/>
                <w:color w:val="auto"/>
              </w:rPr>
              <w:t>Our Class III directors will be</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and amended and restated bylaws that will become effective upon the effectiveness of the registration statement of which this prospectus is a part provide that the number of our directors shall be fixed from time to time by a resolution of the majority of our board of directors.</w:t>
      </w:r>
    </w:p>
    <w:p>
      <w:pPr>
        <w:spacing w:after="0" w:line="140" w:lineRule="exact"/>
        <w:rPr>
          <w:sz w:val="20"/>
          <w:szCs w:val="20"/>
          <w:color w:val="auto"/>
        </w:rPr>
      </w:pPr>
    </w:p>
    <w:p>
      <w:pPr>
        <w:ind w:right="280" w:firstLine="449"/>
        <w:spacing w:after="0" w:line="26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96"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Currently, the role of chairman of our board of directors is separated from the role of Chief Executive Officer. Our Chief Executive Officer is responsible for recommending strategic decisions and capital allocation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the board of directors and to ensure the execution of the recommended plans. The chairman of our board of directors is responsible for leading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will not require that our chairman and Chief Executive Officer positions be separate, our board of directors believes that having separate positions is the appropriate leadership structure for us at this time and demonstrates our commitment to good corporate governance.</w:t>
      </w:r>
    </w:p>
    <w:p>
      <w:pPr>
        <w:spacing w:after="0" w:line="120" w:lineRule="exact"/>
        <w:rPr>
          <w:sz w:val="20"/>
          <w:szCs w:val="20"/>
          <w:color w:val="auto"/>
        </w:rPr>
      </w:pPr>
    </w:p>
    <w:p>
      <w:pPr>
        <w:ind w:right="140" w:firstLine="449"/>
        <w:spacing w:after="0" w:line="254"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the risks more fully discussed in the section 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7" w:lineRule="exact"/>
        <w:rPr>
          <w:sz w:val="20"/>
          <w:szCs w:val="20"/>
          <w:color w:val="auto"/>
        </w:rPr>
      </w:pPr>
    </w:p>
    <w:p>
      <w:pPr>
        <w:ind w:right="60" w:firstLine="449"/>
        <w:spacing w:after="0" w:line="314" w:lineRule="auto"/>
        <w:rPr>
          <w:sz w:val="20"/>
          <w:szCs w:val="20"/>
          <w:color w:val="auto"/>
        </w:rPr>
      </w:pPr>
      <w:r>
        <w:rPr>
          <w:rFonts w:ascii="Arial" w:cs="Arial" w:eastAsia="Arial" w:hAnsi="Arial"/>
          <w:sz w:val="15"/>
          <w:szCs w:val="15"/>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96" w:lineRule="exact"/>
        <w:rPr>
          <w:sz w:val="20"/>
          <w:szCs w:val="20"/>
          <w:color w:val="auto"/>
        </w:rPr>
      </w:pPr>
    </w:p>
    <w:p>
      <w:pPr>
        <w:ind w:right="160" w:firstLine="449"/>
        <w:spacing w:after="0" w:line="290"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each of which will operate pursuant to a charter to be adopted by our board of directors and will be effective upon the effectiveness of the registration statement of which this prospectus is a part. The board of directors may also establish other committees from time to time to assist us and our board of directors. Upon the effectiveness of the registration statement of which this prospectus is a part, the composition and functioning of all of our committees will comply with all applicable requirements of the Sarbanes-Oxley Act of 2002, Nasdaq and SEC rules and regulations, if applicable. Upon our listing on The Nasdaq Global Market, each committee’s charter will be available on our website at https://pepgen.com/. The reference to our website address does not constitute incorporation by reference of the information contained at or available through our website, and you should not consider it to be part of this prospectus.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left="1380"/>
        <w:spacing w:after="0"/>
        <w:tabs>
          <w:tab w:leader="none" w:pos="5580" w:val="left"/>
        </w:tabs>
        <w:rPr>
          <w:sz w:val="20"/>
          <w:szCs w:val="20"/>
          <w:color w:val="auto"/>
        </w:rPr>
      </w:pPr>
      <w:r>
        <w:rPr>
          <w:rFonts w:ascii="Arial" w:cs="Arial" w:eastAsia="Arial" w:hAnsi="Arial"/>
          <w:sz w:val="18"/>
          <w:szCs w:val="18"/>
          <w:color w:val="auto"/>
        </w:rPr>
        <w:t>serve on the audit committee, which is chaired by</w:t>
      </w:r>
      <w:r>
        <w:rPr>
          <w:sz w:val="20"/>
          <w:szCs w:val="20"/>
          <w:color w:val="auto"/>
        </w:rPr>
        <w:tab/>
      </w:r>
      <w:r>
        <w:rPr>
          <w:rFonts w:ascii="Arial" w:cs="Arial" w:eastAsia="Arial" w:hAnsi="Arial"/>
          <w:sz w:val="15"/>
          <w:szCs w:val="15"/>
          <w:color w:val="auto"/>
        </w:rPr>
        <w:t>. Our board of directors has determined that each are “independent” for audit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committee purposes as that term is defined by the rules of the SEC and Nasdaq, and that each has sufficient knowledge in financial and auditing matters to</w:t>
      </w:r>
    </w:p>
    <w:p>
      <w:pPr>
        <w:spacing w:after="0" w:line="39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serve on the audit committee. Our board of directors has determined that qualifies as an “audit committee financial expert,” as defined under the applicable rules of the SEC. The audit committee’s responsibilities include:</w:t>
      </w:r>
    </w:p>
    <w:p>
      <w:pPr>
        <w:spacing w:after="0" w:line="51" w:lineRule="exact"/>
        <w:rPr>
          <w:sz w:val="20"/>
          <w:szCs w:val="20"/>
          <w:color w:val="auto"/>
        </w:rPr>
      </w:pPr>
    </w:p>
    <w:p>
      <w:pPr>
        <w:ind w:left="880" w:hanging="427"/>
        <w:spacing w:after="0"/>
        <w:tabs>
          <w:tab w:leader="none" w:pos="8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independent registered public accounting firm;</w:t>
      </w:r>
    </w:p>
    <w:p>
      <w:pPr>
        <w:spacing w:after="0" w:line="113" w:lineRule="exact"/>
        <w:rPr>
          <w:rFonts w:ascii="Arial" w:cs="Arial" w:eastAsia="Arial" w:hAnsi="Arial"/>
          <w:sz w:val="16"/>
          <w:szCs w:val="16"/>
          <w:color w:val="auto"/>
        </w:rPr>
      </w:pPr>
    </w:p>
    <w:p>
      <w:pPr>
        <w:ind w:left="880" w:right="320" w:hanging="427"/>
        <w:spacing w:after="0" w:line="268"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320" w:top="459" w:right="3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line="268"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50" w:lineRule="exact"/>
        <w:rPr>
          <w:rFonts w:ascii="Arial" w:cs="Arial" w:eastAsia="Arial" w:hAnsi="Arial"/>
          <w:sz w:val="18"/>
          <w:szCs w:val="18"/>
          <w:color w:val="auto"/>
        </w:rPr>
      </w:pPr>
    </w:p>
    <w:p>
      <w:pPr>
        <w:ind w:left="880" w:right="220" w:hanging="427"/>
        <w:spacing w:after="0" w:line="268"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90"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0" w:lineRule="exact"/>
        <w:rPr>
          <w:rFonts w:ascii="Arial" w:cs="Arial" w:eastAsia="Arial" w:hAnsi="Arial"/>
          <w:sz w:val="18"/>
          <w:szCs w:val="18"/>
          <w:color w:val="auto"/>
        </w:rPr>
      </w:pPr>
    </w:p>
    <w:p>
      <w:pPr>
        <w:ind w:left="880" w:right="480" w:hanging="427"/>
        <w:spacing w:after="0" w:line="268"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1380"/>
        <w:spacing w:after="0"/>
        <w:tabs>
          <w:tab w:leader="none" w:pos="6220" w:val="left"/>
        </w:tabs>
        <w:rPr>
          <w:sz w:val="20"/>
          <w:szCs w:val="20"/>
          <w:color w:val="auto"/>
        </w:rPr>
      </w:pPr>
      <w:r>
        <w:rPr>
          <w:rFonts w:ascii="Arial" w:cs="Arial" w:eastAsia="Arial" w:hAnsi="Arial"/>
          <w:sz w:val="18"/>
          <w:szCs w:val="18"/>
          <w:color w:val="auto"/>
        </w:rPr>
        <w:t>serve on the compensation committee, which is chaired by</w:t>
      </w:r>
      <w:r>
        <w:rPr>
          <w:sz w:val="20"/>
          <w:szCs w:val="20"/>
          <w:color w:val="auto"/>
        </w:rPr>
        <w:tab/>
      </w:r>
      <w:r>
        <w:rPr>
          <w:rFonts w:ascii="Arial" w:cs="Arial" w:eastAsia="Arial" w:hAnsi="Arial"/>
          <w:sz w:val="15"/>
          <w:szCs w:val="15"/>
          <w:color w:val="auto"/>
        </w:rPr>
        <w:t>. Our board of directors has determined that each member of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is “independent” as defined in the applicable Nasdaq rules. The compensation committee’s responsibilities include:</w:t>
      </w:r>
    </w:p>
    <w:p>
      <w:pPr>
        <w:spacing w:after="0" w:line="84" w:lineRule="exact"/>
        <w:rPr>
          <w:sz w:val="20"/>
          <w:szCs w:val="20"/>
          <w:color w:val="auto"/>
        </w:rPr>
      </w:pPr>
    </w:p>
    <w:p>
      <w:pPr>
        <w:ind w:left="880" w:right="480" w:hanging="427"/>
        <w:spacing w:after="0" w:line="268"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the corporate goals and objectives relevant to the compensation of our Chief Executive Officer;</w:t>
      </w:r>
    </w:p>
    <w:p>
      <w:pPr>
        <w:spacing w:after="0" w:line="50" w:lineRule="exact"/>
        <w:rPr>
          <w:rFonts w:ascii="Arial" w:cs="Arial" w:eastAsia="Arial" w:hAnsi="Arial"/>
          <w:sz w:val="18"/>
          <w:szCs w:val="18"/>
          <w:color w:val="auto"/>
        </w:rPr>
      </w:pPr>
    </w:p>
    <w:p>
      <w:pPr>
        <w:ind w:left="880" w:right="780" w:hanging="427"/>
        <w:spacing w:after="0" w:line="268"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 recommending to the board of directors the cash compensation of our Chief Executive Officer;</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determining the cash compensation of our other executive officers;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90" w:lineRule="exact"/>
        <w:rPr>
          <w:rFonts w:ascii="Arial" w:cs="Arial" w:eastAsia="Arial" w:hAnsi="Arial"/>
          <w:sz w:val="18"/>
          <w:szCs w:val="18"/>
          <w:color w:val="auto"/>
        </w:rPr>
      </w:pPr>
    </w:p>
    <w:p>
      <w:pPr>
        <w:ind w:left="880" w:right="140" w:hanging="427"/>
        <w:spacing w:after="0" w:line="259"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58" w:lineRule="exact"/>
        <w:rPr>
          <w:rFonts w:ascii="Arial" w:cs="Arial" w:eastAsia="Arial" w:hAnsi="Arial"/>
          <w:sz w:val="18"/>
          <w:szCs w:val="18"/>
          <w:color w:val="auto"/>
        </w:rPr>
      </w:pPr>
    </w:p>
    <w:p>
      <w:pPr>
        <w:ind w:left="880" w:hanging="427"/>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retaining and approving the compensation of any compensation advisors;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and approving the grant of equity-based awards;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preparing the compensation committee report required by SEC rules, if and when required, to be included in our annual proxy statement.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member of our compensation committee is a non-employee director, as defined in Rule 16b-3 promulgated under the Exchange Act.</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540" w:firstLine="449"/>
        <w:spacing w:after="0" w:line="285" w:lineRule="auto"/>
        <w:rPr>
          <w:sz w:val="20"/>
          <w:szCs w:val="20"/>
          <w:color w:val="auto"/>
        </w:rPr>
      </w:pPr>
      <w:r>
        <w:rPr>
          <w:rFonts w:ascii="Arial" w:cs="Arial" w:eastAsia="Arial" w:hAnsi="Arial"/>
          <w:sz w:val="16"/>
          <w:szCs w:val="16"/>
          <w:color w:val="auto"/>
        </w:rPr>
        <w:t>Upon the effectiveness of the registration statement of which this prospectus forms a part, will serve on the nominating and corporate governance committee, which will be chaired by . Our board of directors has determined that a majority of the nominating and corporate</w:t>
      </w:r>
    </w:p>
    <w:p>
      <w:pPr>
        <w:spacing w:after="0" w:line="1"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governance committee is “independent” as defined in the applicable Nasdaq rules. The nominating and corporate governance committee’s responsibilities include:</w:t>
      </w:r>
    </w:p>
    <w:p>
      <w:pPr>
        <w:spacing w:after="0" w:line="58" w:lineRule="exact"/>
        <w:rPr>
          <w:sz w:val="20"/>
          <w:szCs w:val="20"/>
          <w:color w:val="auto"/>
        </w:rPr>
      </w:pPr>
    </w:p>
    <w:p>
      <w:pPr>
        <w:ind w:left="880" w:hanging="427"/>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13" w:lineRule="exact"/>
        <w:rPr>
          <w:rFonts w:ascii="Arial" w:cs="Arial" w:eastAsia="Arial" w:hAnsi="Arial"/>
          <w:sz w:val="16"/>
          <w:szCs w:val="16"/>
          <w:color w:val="auto"/>
        </w:rPr>
      </w:pPr>
    </w:p>
    <w:p>
      <w:pPr>
        <w:ind w:left="880" w:right="360" w:hanging="427"/>
        <w:spacing w:after="0" w:line="268"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recommending to the board of directors the persons to be nominated for election as directors and to each of the board’s committees;</w:t>
      </w:r>
    </w:p>
    <w:p>
      <w:pPr>
        <w:spacing w:after="0" w:line="113" w:lineRule="exact"/>
        <w:rPr>
          <w:rFonts w:ascii="Arial" w:cs="Arial" w:eastAsia="Arial" w:hAnsi="Arial"/>
          <w:sz w:val="16"/>
          <w:szCs w:val="16"/>
          <w:color w:val="auto"/>
        </w:rPr>
      </w:pPr>
    </w:p>
    <w:p>
      <w:pPr>
        <w:ind w:left="880" w:hanging="427"/>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appropriate corporate governance guidelines;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In 2020, the compensation committee consisted of Christopher Ashton and Joshua Resnick. 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Our board of directors intends to adopt a Code of Business Conduct and Ethics in connection with this offering. The Code of Business Conduct and Ethics will apply to our directors, officers, and employees, including our principal executive officer, principal financial officer, principal accounting officer, or controller, or persons performing similar functions. Upon the completion of this offering, the full text of our Code of Business Conduct and Ethics will be posted on our website at https://pepgen.com/. The information on our website is deemed not to be incorporated in this prospectus or to be a part of this prospectus. If we make any substantive amendments to, or grant any waivers from, our Code of Business Conduct and Ethics for any officer or director, we will disclose the nature of such amendment or waiver on our website or in a current report on Form 8-K.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Agreements</w:t>
      </w:r>
    </w:p>
    <w:p>
      <w:pPr>
        <w:spacing w:after="0" w:line="96"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As permitted by Delaware law, provisions in our amended and restated certificate of incorporation, which will become effective immediately prior to the closing of this offering, and amended and restated bylaws, which will become effective upon the effectiveness of this registration statement, limit or eliminate the personal liability of directors for a breach of their fiduciary duty of care as a director. The duty of care generally requires that, when acting on behalf of the corporation, a director exercise an informed business judgment based on all material information reasonably available to him or her. Consequently, a director will not be personally liable to us or our stockholders for monetary damages or breach of fiduciary duty as a director, except for liability for:</w:t>
      </w:r>
    </w:p>
    <w:p>
      <w:pPr>
        <w:spacing w:after="0" w:line="34" w:lineRule="exact"/>
        <w:rPr>
          <w:sz w:val="20"/>
          <w:szCs w:val="20"/>
          <w:color w:val="auto"/>
        </w:rPr>
      </w:pPr>
    </w:p>
    <w:p>
      <w:pPr>
        <w:ind w:left="880" w:hanging="427"/>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payments of dividends; or</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40" w:firstLine="449"/>
        <w:spacing w:after="0" w:line="256" w:lineRule="auto"/>
        <w:rPr>
          <w:sz w:val="20"/>
          <w:szCs w:val="20"/>
          <w:color w:val="auto"/>
        </w:rPr>
      </w:pPr>
      <w:r>
        <w:rPr>
          <w:rFonts w:ascii="Arial" w:cs="Arial" w:eastAsia="Arial" w:hAnsi="Arial"/>
          <w:sz w:val="18"/>
          <w:szCs w:val="18"/>
          <w:color w:val="auto"/>
        </w:rPr>
        <w:t>These limitations of liability do not limit or eliminate our rights or any stockholder’s rights to seek non-monetary relief, such as injunctive relief or rescission. These provisions will not alter a director’s liability under other laws, such as the federal securities laws or other state or federal laws. Our amended and restated certificate of incorporation that will become effective immediately prior to the closing of this offering also authorizes us to indemnify our officers, directors and other agents to the fullest extent permitted under Delaware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Delaware law, our amended and restated bylaws to be effective upon the effectiveness of this registration statement will provide that:</w:t>
      </w:r>
    </w:p>
    <w:p>
      <w:pPr>
        <w:spacing w:after="0" w:line="113" w:lineRule="exact"/>
        <w:rPr>
          <w:sz w:val="20"/>
          <w:szCs w:val="20"/>
          <w:color w:val="auto"/>
        </w:rPr>
      </w:pPr>
    </w:p>
    <w:p>
      <w:pPr>
        <w:ind w:left="880" w:hanging="427"/>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will indemnify our directors, officers, employees and other agents to the fullest extent permitted by law;</w:t>
      </w:r>
    </w:p>
    <w:p>
      <w:pPr>
        <w:spacing w:after="0" w:line="90" w:lineRule="exact"/>
        <w:rPr>
          <w:rFonts w:ascii="Arial" w:cs="Arial" w:eastAsia="Arial" w:hAnsi="Arial"/>
          <w:sz w:val="18"/>
          <w:szCs w:val="18"/>
          <w:color w:val="auto"/>
        </w:rPr>
      </w:pPr>
    </w:p>
    <w:p>
      <w:pPr>
        <w:ind w:left="880" w:right="100" w:hanging="427"/>
        <w:spacing w:after="0" w:line="268" w:lineRule="auto"/>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must advance expenses to our directors and officers, and may advance expenses to our employees and other agents, in connection with a legal proceeding to the fullest extent permitted by law; and</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171" w:lineRule="exact"/>
        <w:rPr>
          <w:sz w:val="20"/>
          <w:szCs w:val="20"/>
          <w:color w:val="auto"/>
        </w:rPr>
      </w:pPr>
    </w:p>
    <w:p>
      <w:pPr>
        <w:jc w:val="both"/>
        <w:ind w:firstLine="449"/>
        <w:spacing w:after="0" w:line="298" w:lineRule="auto"/>
        <w:rPr>
          <w:sz w:val="20"/>
          <w:szCs w:val="20"/>
          <w:color w:val="auto"/>
        </w:rPr>
      </w:pPr>
      <w:r>
        <w:rPr>
          <w:rFonts w:ascii="Arial" w:cs="Arial" w:eastAsia="Arial" w:hAnsi="Arial"/>
          <w:sz w:val="16"/>
          <w:szCs w:val="16"/>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bylaws permit such indemnification. We have obtained such insurance.</w:t>
      </w:r>
    </w:p>
    <w:p>
      <w:pPr>
        <w:spacing w:after="0" w:line="11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Delaware General Corporation Law.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1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40"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0"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320" w:top="459" w:right="3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The following discussion contains forward-looking statements that are based on our current plans and expectations regarding our future compensation programs. The actual amount and form of compensation that we pay and the compensation policies and practices that we adopt in the future may differ materially from the currently-planned programs that are summarized in this discussion.</w:t>
      </w:r>
    </w:p>
    <w:p>
      <w:pPr>
        <w:spacing w:after="0" w:line="140"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The compensation provided to our named executive officers for the fiscal year ended December 31, 2020 is detailed in the 2020 Summary Compensation Table and accompanying footnotes and narrative that follow. Our named executive officers are:</w:t>
      </w:r>
    </w:p>
    <w:p>
      <w:pPr>
        <w:spacing w:after="0" w:line="62" w:lineRule="exact"/>
        <w:rPr>
          <w:sz w:val="20"/>
          <w:szCs w:val="20"/>
          <w:color w:val="auto"/>
        </w:rPr>
      </w:pPr>
    </w:p>
    <w:p>
      <w:pPr>
        <w:ind w:left="880" w:hanging="427"/>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Caroline Godfrey, Ph.D., our Senior Vice President of Discovery and former Chief Executive Officer;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Sonia Bracegirdle, D.Phil., our Vice President of Portfolio Management and former Chief Business Officer.</w:t>
      </w:r>
    </w:p>
    <w:p>
      <w:pPr>
        <w:spacing w:after="0" w:line="171" w:lineRule="exact"/>
        <w:rPr>
          <w:sz w:val="20"/>
          <w:szCs w:val="20"/>
          <w:color w:val="auto"/>
        </w:rPr>
      </w:pPr>
    </w:p>
    <w:p>
      <w:pPr>
        <w:ind w:right="200" w:firstLine="449"/>
        <w:spacing w:after="0" w:line="298" w:lineRule="auto"/>
        <w:rPr>
          <w:sz w:val="20"/>
          <w:szCs w:val="20"/>
          <w:color w:val="auto"/>
        </w:rPr>
      </w:pPr>
      <w:r>
        <w:rPr>
          <w:rFonts w:ascii="Arial" w:cs="Arial" w:eastAsia="Arial" w:hAnsi="Arial"/>
          <w:sz w:val="16"/>
          <w:szCs w:val="16"/>
          <w:color w:val="auto"/>
        </w:rPr>
        <w:t>Effective January 21, 2021, Dr. Godfrey resigned as our Chief Executive Officer and as a member of our board of directors and transitioned to her current role as our Senior Vice President of Discovery, and James McArthur, Ph.D. assumed the role as our Chief Executive Officer, President, Treasurer and Secretary. On that same date, Dr. Bracegirdle resigned as our Chief Business Officer and transitioned to her current role as our Vice President of Portfolio Management. The role of Chief Business Officer has not been continued at the current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The following table provides information regarding the total compensation awarded to, earned by, and paid to our named executive officers for services rendered to us in all capacities for the fiscal year ended December 31, 2020. The USD amounts below are based on a weighted-average exchange ratio of GBP £0.7794 to USD $1.00 for the reporting period as set forth on Bloomberg: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Option</w:t>
            </w: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All Other</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Salary</w:t>
            </w:r>
          </w:p>
        </w:tc>
        <w:tc>
          <w:tcPr>
            <w:tcW w:w="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Awards</w:t>
            </w: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Awards</w:t>
            </w: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Compensation</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w:t>
            </w:r>
          </w:p>
        </w:tc>
      </w:tr>
      <w:tr>
        <w:trPr>
          <w:trHeight w:val="22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Year</w:t>
            </w: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w:t>
            </w: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4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19"/>
                <w:szCs w:val="19"/>
                <w:color w:val="auto"/>
              </w:rPr>
            </w:pPr>
          </w:p>
        </w:tc>
      </w:tr>
      <w:tr>
        <w:trPr>
          <w:trHeight w:val="210"/>
        </w:trPr>
        <w:tc>
          <w:tcPr>
            <w:tcW w:w="5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Caroline Godfrey, Ph.D.</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128,290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83,635</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6,415(3)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221,391</w:t>
            </w:r>
          </w:p>
        </w:tc>
        <w:tc>
          <w:tcPr>
            <w:tcW w:w="60" w:type="dxa"/>
            <w:vAlign w:val="bottom"/>
            <w:shd w:val="clear" w:color="auto" w:fill="CCEEFF"/>
          </w:tcPr>
          <w:p>
            <w:pPr>
              <w:spacing w:after="0"/>
              <w:rPr>
                <w:sz w:val="18"/>
                <w:szCs w:val="18"/>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Senior Vice President of Discovery</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and former Chief Executive Officer</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75"/>
        </w:trPr>
        <w:tc>
          <w:tcPr>
            <w:tcW w:w="5440" w:type="dxa"/>
            <w:vAlign w:val="bottom"/>
          </w:tcPr>
          <w:p>
            <w:pPr>
              <w:spacing w:after="0"/>
              <w:rPr>
                <w:sz w:val="20"/>
                <w:szCs w:val="20"/>
                <w:color w:val="auto"/>
              </w:rPr>
            </w:pPr>
            <w:r>
              <w:rPr>
                <w:rFonts w:ascii="Arial" w:cs="Arial" w:eastAsia="Arial" w:hAnsi="Arial"/>
                <w:sz w:val="18"/>
                <w:szCs w:val="18"/>
                <w:color w:val="auto"/>
              </w:rPr>
              <w:t>Sonia Bracegirdle, D.Phil.</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2020</w:t>
            </w:r>
          </w:p>
        </w:tc>
        <w:tc>
          <w:tcPr>
            <w:tcW w:w="640" w:type="dxa"/>
            <w:vAlign w:val="bottom"/>
          </w:tcPr>
          <w:p>
            <w:pPr>
              <w:ind w:left="80"/>
              <w:spacing w:after="0"/>
              <w:rPr>
                <w:sz w:val="20"/>
                <w:szCs w:val="20"/>
                <w:color w:val="auto"/>
              </w:rPr>
            </w:pPr>
            <w:r>
              <w:rPr>
                <w:rFonts w:ascii="Arial" w:cs="Arial" w:eastAsia="Arial" w:hAnsi="Arial"/>
                <w:sz w:val="18"/>
                <w:szCs w:val="18"/>
                <w:color w:val="auto"/>
                <w:w w:val="82"/>
              </w:rPr>
              <w:t>159,718</w:t>
            </w:r>
          </w:p>
        </w:tc>
        <w:tc>
          <w:tcPr>
            <w:tcW w:w="28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120,352</w:t>
            </w:r>
          </w:p>
        </w:tc>
        <w:tc>
          <w:tcPr>
            <w:tcW w:w="260" w:type="dxa"/>
            <w:vAlign w:val="bottom"/>
          </w:tcPr>
          <w:p>
            <w:pPr>
              <w:spacing w:after="0"/>
              <w:rPr>
                <w:sz w:val="23"/>
                <w:szCs w:val="23"/>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280,070</w:t>
            </w:r>
          </w:p>
        </w:tc>
      </w:tr>
      <w:tr>
        <w:trPr>
          <w:trHeight w:val="216"/>
        </w:trPr>
        <w:tc>
          <w:tcPr>
            <w:tcW w:w="5440" w:type="dxa"/>
            <w:vAlign w:val="bottom"/>
          </w:tcPr>
          <w:p>
            <w:pPr>
              <w:spacing w:after="0"/>
              <w:rPr>
                <w:sz w:val="20"/>
                <w:szCs w:val="20"/>
                <w:color w:val="auto"/>
              </w:rPr>
            </w:pPr>
            <w:r>
              <w:rPr>
                <w:rFonts w:ascii="Arial" w:cs="Arial" w:eastAsia="Arial" w:hAnsi="Arial"/>
                <w:sz w:val="18"/>
                <w:szCs w:val="18"/>
                <w:i w:val="1"/>
                <w:iCs w:val="1"/>
                <w:color w:val="auto"/>
              </w:rPr>
              <w:t>Vice President of Portfolio Management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440" w:type="dxa"/>
            <w:vAlign w:val="bottom"/>
          </w:tcPr>
          <w:p>
            <w:pPr>
              <w:ind w:left="220"/>
              <w:spacing w:after="0"/>
              <w:rPr>
                <w:sz w:val="20"/>
                <w:szCs w:val="20"/>
                <w:color w:val="auto"/>
              </w:rPr>
            </w:pPr>
            <w:r>
              <w:rPr>
                <w:rFonts w:ascii="Arial" w:cs="Arial" w:eastAsia="Arial" w:hAnsi="Arial"/>
                <w:sz w:val="18"/>
                <w:szCs w:val="18"/>
                <w:i w:val="1"/>
                <w:iCs w:val="1"/>
                <w:color w:val="auto"/>
              </w:rPr>
              <w:t>and former Chief Business Officer</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886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20" w:lineRule="exact"/>
        <w:rPr>
          <w:sz w:val="20"/>
          <w:szCs w:val="20"/>
          <w:color w:val="auto"/>
        </w:rPr>
      </w:pPr>
    </w:p>
    <w:p>
      <w:pPr>
        <w:ind w:left="440" w:right="100" w:hanging="432"/>
        <w:spacing w:after="0" w:line="248" w:lineRule="auto"/>
        <w:tabs>
          <w:tab w:leader="none" w:pos="4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Amount reflects the incremental fair value related to the modification of Dr. Godfrey’s outstanding shares in November 2020 in connection with the Reorganization, as described below in the section titled “Equity Compensation”.</w:t>
      </w:r>
    </w:p>
    <w:p>
      <w:pPr>
        <w:ind w:left="440" w:right="180" w:hanging="432"/>
        <w:spacing w:after="0" w:line="241" w:lineRule="auto"/>
        <w:tabs>
          <w:tab w:leader="none" w:pos="4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options to purchase Limited Options (as defined below in the section titled “Equity Compensation”) awarded to the named executive officers during fiscal year 2020 prior to the Reorganization, calculated in accordance with Financial Accounting Standards Board, or FASB Accounting Standards Codification, or ASC Topic 718. Such grant date fair value does not take into account any estimated forfeitures. The value reported reflects the grant date fair value based upon probable achievement of the performance conditions of the Limited Options. The grant date fair value of such option awards assuming the maximum achievement of the performance conditions is $83,635 and $120,352 for Dr. Godfrey and Dr. Bracegirdle, respectively. The assumptions used in calculating the grant date fair value of the awards reported in this column are set forth in the notes to our consolidated financial statements included elsewhere in this prospectus. The amounts reported in this column reflect the accounting cost for the options and does not correspond to the actual economic value that may have been received upon exercise of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120"/>
        <w:spacing w:after="0" w:line="248" w:lineRule="auto"/>
        <w:rPr>
          <w:sz w:val="20"/>
          <w:szCs w:val="20"/>
          <w:color w:val="auto"/>
        </w:rPr>
      </w:pPr>
      <w:r>
        <w:rPr>
          <w:rFonts w:ascii="Arial" w:cs="Arial" w:eastAsia="Arial" w:hAnsi="Arial"/>
          <w:sz w:val="13"/>
          <w:szCs w:val="13"/>
          <w:color w:val="auto"/>
        </w:rPr>
        <w:t>options or any sale of any of the underlying shares. See the section below titled “Equity Compensation” for a more detailed discussion of the treatment of the Limited Options in connection with the Reorganization.</w:t>
      </w:r>
    </w:p>
    <w:p>
      <w:pPr>
        <w:ind w:left="440" w:hanging="432"/>
        <w:spacing w:after="0"/>
        <w:tabs>
          <w:tab w:leader="none" w:pos="44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Amount represents employer contributions on behalf of Dr. Godfrey to a group personal pension scheme, the People’s Pension Scheme.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96" w:lineRule="exact"/>
        <w:rPr>
          <w:sz w:val="20"/>
          <w:szCs w:val="20"/>
          <w:color w:val="auto"/>
        </w:rPr>
      </w:pPr>
    </w:p>
    <w:p>
      <w:pPr>
        <w:ind w:right="340" w:firstLine="449"/>
        <w:spacing w:after="0" w:line="268" w:lineRule="auto"/>
        <w:rPr>
          <w:sz w:val="20"/>
          <w:szCs w:val="20"/>
          <w:color w:val="auto"/>
        </w:rPr>
      </w:pPr>
      <w:r>
        <w:rPr>
          <w:rFonts w:ascii="Arial" w:cs="Arial" w:eastAsia="Arial" w:hAnsi="Arial"/>
          <w:sz w:val="18"/>
          <w:szCs w:val="18"/>
          <w:color w:val="auto"/>
        </w:rPr>
        <w:t>As noted above, the USD amounts described below are based on a weighted-average exchange ratio of GBP £0.7794 to USD $1.00 for the reporting period as set forth on Bloomberg.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 and Consulting Fees</w:t>
      </w:r>
    </w:p>
    <w:p>
      <w:pPr>
        <w:spacing w:after="0" w:line="90" w:lineRule="exact"/>
        <w:rPr>
          <w:sz w:val="20"/>
          <w:szCs w:val="20"/>
          <w:color w:val="auto"/>
        </w:rPr>
      </w:pPr>
    </w:p>
    <w:p>
      <w:pPr>
        <w:ind w:right="120" w:firstLine="449"/>
        <w:spacing w:after="0" w:line="306" w:lineRule="auto"/>
        <w:rPr>
          <w:sz w:val="20"/>
          <w:szCs w:val="20"/>
          <w:color w:val="auto"/>
        </w:rPr>
      </w:pPr>
      <w:r>
        <w:rPr>
          <w:rFonts w:ascii="Arial" w:cs="Arial" w:eastAsia="Arial" w:hAnsi="Arial"/>
          <w:sz w:val="16"/>
          <w:szCs w:val="16"/>
          <w:color w:val="auto"/>
        </w:rPr>
        <w:t>For fiscal year 2020, the annual base salary for Dr. Godfrey was $128,290. During fiscal year 2020, Dr. Bracegirdle received consulting fees at a rate of $121.88 per hour pursuant to a consultancy agreement between PepGen Limited and V.O.F. Bracegirdle Moerloose Consulting, until November 2020, and thereafter pursuant to a consultancy agreement between PepGen Limited and V.O.F. Summit Aspiring.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2020, PepGen Limited granted equity awards to certain of our employees, including the named executive officers. Dr. Godfrey and</w:t>
      </w:r>
    </w:p>
    <w:p>
      <w:pPr>
        <w:spacing w:after="0" w:line="38"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Dr. Bracegirdle were granted options to purchase 4,100 and 5,900 ordinary shares of PepGen Limited, respectively, or the Limited Options. In connection with the Company’s Series A preferred stock financing in November 2020, certain of the shares subject to the Limited Options were to have vested. With respect to Dr. Godfrey, 2,312 of the shares subject to her Limited Options vested in connection with the Company’s Series A preferred stock financing, and the remaining shares subject to the Limited Options were forfeited. On the same date, Dr. Godfrey exercised her vested Limited Options to purchase ordinary shares of PepGen Limited, which shares were immediately exchanged for shares of the Company in the Reorganization. In connection with the Reorganization,</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Dr. Godfrey and the Company also agreed to the imposition of time-based vesting conditions on 50% of all shares of the Company held by Dr. Godfrey. With respect to Dr. Bracegirdle, she agreed with the Company to cancel all of her Limited Options for no consideration other than the Company’s promise to grant to her, after completion of the Reorganization, a new option to purchase that number of shares of the Company equal to the number of ordinary shares of PepGen Limited that would have vested under her original option in connection with the Company’s Series A preferred stock financing. The new option described in the foregoing sentence was not granted to Dr. Bracegirdle in 2020, nor did she receive any other equity awards in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Arrangements with our Named Executive Officers</w:t>
      </w:r>
    </w:p>
    <w:p>
      <w:pPr>
        <w:spacing w:after="0" w:line="90" w:lineRule="exact"/>
        <w:rPr>
          <w:sz w:val="20"/>
          <w:szCs w:val="20"/>
          <w:color w:val="auto"/>
        </w:rPr>
      </w:pPr>
    </w:p>
    <w:p>
      <w:pPr>
        <w:ind w:right="40" w:firstLine="449"/>
        <w:spacing w:after="0" w:line="331" w:lineRule="auto"/>
        <w:rPr>
          <w:sz w:val="20"/>
          <w:szCs w:val="20"/>
          <w:color w:val="auto"/>
        </w:rPr>
      </w:pPr>
      <w:r>
        <w:rPr>
          <w:rFonts w:ascii="Arial" w:cs="Arial" w:eastAsia="Arial" w:hAnsi="Arial"/>
          <w:sz w:val="16"/>
          <w:szCs w:val="16"/>
          <w:color w:val="auto"/>
        </w:rPr>
        <w:t>We have entered into an employment contract or consulting arrangement with each of the named executive officers in connection with their employment or other service relationship with us, which set forth the terms and conditions of their respective employment or service relationship.</w:t>
      </w:r>
    </w:p>
    <w:p>
      <w:pPr>
        <w:spacing w:after="0" w:line="162" w:lineRule="exact"/>
        <w:rPr>
          <w:sz w:val="20"/>
          <w:szCs w:val="20"/>
          <w:color w:val="auto"/>
        </w:rPr>
      </w:pPr>
    </w:p>
    <w:p>
      <w:pPr>
        <w:ind w:right="2560"/>
        <w:spacing w:after="0" w:line="347" w:lineRule="auto"/>
        <w:rPr>
          <w:sz w:val="20"/>
          <w:szCs w:val="20"/>
          <w:color w:val="auto"/>
        </w:rPr>
      </w:pPr>
      <w:r>
        <w:rPr>
          <w:rFonts w:ascii="Arial" w:cs="Arial" w:eastAsia="Arial" w:hAnsi="Arial"/>
          <w:sz w:val="18"/>
          <w:szCs w:val="18"/>
          <w:b w:val="1"/>
          <w:bCs w:val="1"/>
          <w:color w:val="auto"/>
        </w:rPr>
        <w:t xml:space="preserve">Service Arrangements in Place During the Fiscal Year Ended December 31, 2020 for Our Named Executive Officers </w:t>
      </w:r>
      <w:r>
        <w:rPr>
          <w:rFonts w:ascii="Arial" w:cs="Arial" w:eastAsia="Arial" w:hAnsi="Arial"/>
          <w:sz w:val="18"/>
          <w:szCs w:val="18"/>
          <w:b w:val="1"/>
          <w:bCs w:val="1"/>
          <w:i w:val="1"/>
          <w:iCs w:val="1"/>
          <w:color w:val="auto"/>
        </w:rPr>
        <w:t>Caroline Godfrey, Ph.D.</w:t>
      </w:r>
    </w:p>
    <w:p>
      <w:pPr>
        <w:spacing w:after="0" w:line="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On November 1, 2018, PepGen Limited entered into an employment contract, amended in November 2020, or the Godfrey Employment Contract, with Dr. Godfrey, who served as our Chief Executive Officer until January 2021, and currently serves as our Senior Vice President of Discovery. The Godfrey Employment Contract provides for Dr. Godfrey’s annual base salary, a discretionary annual bonus, as well as her ability to participate in our benefit plans generally. The Godfrey Employment Contract also provides for a bonus opportunity equal to one times Dr. Godfrey’s then current annual base salary upon the achievement of certain milestones related to the Company’s Series A preferred stock financing, or the Godfrey Milestone Bonus. No Godfrey Milestone Bonus was earned (or paid) on account of 2020.</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459" w:right="3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Godfrey Employment Contract, Dr. Godfrey and the Company may terminate such contract by providing six (6) months’ written notice,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such notice not to expire at any time before November 24, 2022. In the event that the Company makes Dr. Godfrey redundant at any time prior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24, 2022, Dr. Godfrey is eligible to receive a redundancy payment equal to one year of her base salary, in addition to the Milestone Bonus, plus,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event that the Company terminates Dr. Godfrey’s employment with immediate effect, an amount equal to six (6) months of Dr. Godfrey’s annual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lieu of notice. Following November 24, 2022, Dr. Godfrey and the Company may terminate the Godfrey Employment Contract by providing three</w:t>
      </w:r>
    </w:p>
    <w:p>
      <w:pPr>
        <w:spacing w:after="0" w:line="32" w:lineRule="exact"/>
        <w:rPr>
          <w:sz w:val="20"/>
          <w:szCs w:val="20"/>
          <w:color w:val="auto"/>
        </w:rPr>
      </w:pPr>
    </w:p>
    <w:p>
      <w:pPr>
        <w:ind w:right="440" w:firstLine="8"/>
        <w:spacing w:after="0" w:line="323" w:lineRule="auto"/>
        <w:tabs>
          <w:tab w:leader="none" w:pos="24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months’ written notice. In the event that the Company terminates Dr. Godfrey’s employment with immediate effect following November 24, 2022, the Company shall pay Dr. Godfrey an amount equal to three (3) months of her annual base salary in lieu of notice.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Sonia Bracegirdle, D.Phil.</w:t>
      </w:r>
    </w:p>
    <w:p>
      <w:pPr>
        <w:spacing w:after="0" w:line="90"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In May 2019, PepGen Limited entered into a consultancy agreement with VOF Bracegirdle Moerloose Consulting, pursuant to which Dr. Bracegirdle provided consulting services until November 2020, when PepGen Limited entered into a new consultancy agreement with VOF Summit Aspiring , or the Bracegirdle Consulting Agreement, pursuant to which Dr. Bracegirdle continues to provide consulting services to the company. In addition to consulting fees at a rate of $121.88 per hour, the Bracegirdle Consulting Agreement provides for a bonus opportunity equal to one (1) times Dr. Bracegirdle’s aggregate consulting fees invoiced in the preceding twelve (12) months up to the date of calculation up to a maximum of $128,290, upon the achievement of certain milestones related to the Company’s Series A preferred stock financing, or the Bracegirdle Milestone Bonus. No Bracegirdle Milestone Bonus was earned (or paid) on account of 2020.</w:t>
      </w:r>
    </w:p>
    <w:p>
      <w:pPr>
        <w:spacing w:after="0" w:line="147"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Dr. Bracegirdle may terminate the Bracegirdle Consulting Agreement by giving the Company not less than six (6) months’ notice in writing. In addition, the Company may terminate the Bracegirdle Consulting Agreement by giving Dr. Bracegirdle at least six (6) months’ written notice, such notice not to expire at any time before November 24, 2022. In the event the Company terminates the Bracegirdle Consulting Agreement by reason of making its UK staff redundant before November 24, 2022, in addition to the Milestone Bonus, the Company shall pay Dr. Bracegirdle a redundancy payment equal to one (1) times Dr. Bracegirdle’s aggregate consulting fees (net of VAT) invoiced in the preceding twelve (12) months up to the date of calculation. Following November 24, 2022, Dr. Bracegirdle and the Company may terminate the Bracegirdle Consulting Agreement by providing three (3) months’ written notice.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96" w:lineRule="exact"/>
        <w:rPr>
          <w:sz w:val="20"/>
          <w:szCs w:val="20"/>
          <w:color w:val="auto"/>
        </w:rPr>
      </w:pPr>
    </w:p>
    <w:p>
      <w:pPr>
        <w:ind w:right="20" w:firstLine="449"/>
        <w:spacing w:after="0" w:line="331" w:lineRule="auto"/>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2020. The USD amounts below are based on a weighted-average exchange ratio of GBP £0.7794 to USD $1.00 for the reporting period as set forth on Bloomberg: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80" w:type="dxa"/>
            <w:vAlign w:val="bottom"/>
            <w:gridSpan w:val="3"/>
          </w:tcPr>
          <w:p>
            <w:pPr>
              <w:ind w:left="80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Borders>
              <w:top w:val="single" w:sz="8" w:color="auto"/>
            </w:tcBorders>
            <w:gridSpan w:val="2"/>
          </w:tcPr>
          <w:p>
            <w:pPr>
              <w:jc w:val="center"/>
              <w:ind w:right="740"/>
              <w:spacing w:after="0" w:line="196" w:lineRule="exact"/>
              <w:rPr>
                <w:sz w:val="20"/>
                <w:szCs w:val="20"/>
                <w:color w:val="auto"/>
              </w:rPr>
            </w:pPr>
            <w:r>
              <w:rPr>
                <w:rFonts w:ascii="Arial" w:cs="Arial" w:eastAsia="Arial" w:hAnsi="Arial"/>
                <w:sz w:val="18"/>
                <w:szCs w:val="18"/>
                <w:b w:val="1"/>
                <w:bCs w:val="1"/>
                <w:color w:val="auto"/>
                <w:w w:val="88"/>
              </w:rPr>
              <w:t>Number of</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6"/>
              </w:rPr>
              <w:t>Shares or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Market Value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9"/>
              </w:rPr>
              <w:t>Units of</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 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Units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4"/>
              </w:rPr>
              <w:t>That</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Stock That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Vesting</w:t>
            </w: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2"/>
              </w:rPr>
              <w:t>Have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Have Not</w:t>
            </w: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w w:val="89"/>
              </w:rPr>
              <w:t>Name</w:t>
            </w:r>
          </w:p>
        </w:tc>
        <w:tc>
          <w:tcPr>
            <w:tcW w:w="408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Commencement</w:t>
            </w:r>
          </w:p>
        </w:tc>
        <w:tc>
          <w:tcPr>
            <w:tcW w:w="15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5"/>
              </w:rPr>
              <w:t>Not Vested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22"/>
        </w:trPr>
        <w:tc>
          <w:tcPr>
            <w:tcW w:w="460" w:type="dxa"/>
            <w:vAlign w:val="bottom"/>
            <w:tcBorders>
              <w:bottom w:val="single" w:sz="8" w:color="auto"/>
            </w:tcBorders>
            <w:vMerge w:val="continue"/>
          </w:tcPr>
          <w:p>
            <w:pPr>
              <w:spacing w:after="0"/>
              <w:rPr>
                <w:sz w:val="18"/>
                <w:szCs w:val="18"/>
                <w:color w:val="auto"/>
              </w:rPr>
            </w:pPr>
          </w:p>
        </w:tc>
        <w:tc>
          <w:tcPr>
            <w:tcW w:w="4080" w:type="dxa"/>
            <w:vAlign w:val="bottom"/>
            <w:vMerge w:val="continue"/>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 Date</w:t>
            </w:r>
          </w:p>
        </w:tc>
        <w:tc>
          <w:tcPr>
            <w:tcW w:w="2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7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0" w:type="dxa"/>
            <w:vAlign w:val="bottom"/>
          </w:tcPr>
          <w:p>
            <w:pPr>
              <w:spacing w:after="0"/>
              <w:rPr>
                <w:sz w:val="1"/>
                <w:szCs w:val="1"/>
                <w:color w:val="auto"/>
              </w:rPr>
            </w:pPr>
          </w:p>
        </w:tc>
      </w:tr>
      <w:tr>
        <w:trPr>
          <w:trHeight w:val="20"/>
        </w:trPr>
        <w:tc>
          <w:tcPr>
            <w:tcW w:w="4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Caroline Godfrey, Ph.D.</w:t>
            </w:r>
          </w:p>
        </w:tc>
        <w:tc>
          <w:tcPr>
            <w:tcW w:w="14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2"/>
            <w:vMerge w:val="continue"/>
            <w:shd w:val="clear" w:color="auto" w:fill="CCEEFF"/>
          </w:tcPr>
          <w:p>
            <w:pPr>
              <w:spacing w:after="0"/>
              <w:rPr>
                <w:sz w:val="17"/>
                <w:szCs w:val="17"/>
                <w:color w:val="auto"/>
              </w:rPr>
            </w:pPr>
          </w:p>
        </w:tc>
        <w:tc>
          <w:tcPr>
            <w:tcW w:w="1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November 23, 2020</w:t>
            </w:r>
          </w:p>
        </w:tc>
        <w:tc>
          <w:tcPr>
            <w:tcW w:w="56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November 24, 2020</w:t>
            </w:r>
          </w:p>
        </w:tc>
        <w:tc>
          <w:tcPr>
            <w:tcW w:w="54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31,560(2)</w:t>
            </w:r>
          </w:p>
        </w:tc>
        <w:tc>
          <w:tcPr>
            <w:tcW w:w="11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540" w:type="dxa"/>
            <w:vAlign w:val="bottom"/>
            <w:gridSpan w:val="2"/>
          </w:tcPr>
          <w:p>
            <w:pPr>
              <w:spacing w:after="0"/>
              <w:rPr>
                <w:sz w:val="20"/>
                <w:szCs w:val="20"/>
                <w:color w:val="auto"/>
              </w:rPr>
            </w:pPr>
            <w:r>
              <w:rPr>
                <w:rFonts w:ascii="Arial" w:cs="Arial" w:eastAsia="Arial" w:hAnsi="Arial"/>
                <w:sz w:val="18"/>
                <w:szCs w:val="18"/>
                <w:color w:val="auto"/>
              </w:rPr>
              <w:t>Sonia Bracegirdle, D.Phil.(3)</w:t>
            </w:r>
          </w:p>
        </w:tc>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w:t>
            </w:r>
          </w:p>
        </w:tc>
        <w:tc>
          <w:tcPr>
            <w:tcW w:w="200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886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20" w:val="left"/>
          <w:tab w:leader="none" w:pos="572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The market price of our common stock is based on an assumed initial public offering price of $</w:t>
      </w:r>
      <w:r>
        <w:rPr>
          <w:sz w:val="20"/>
          <w:szCs w:val="20"/>
          <w:color w:val="auto"/>
        </w:rPr>
        <w:tab/>
      </w:r>
      <w:r>
        <w:rPr>
          <w:rFonts w:ascii="Arial" w:cs="Arial" w:eastAsia="Arial" w:hAnsi="Arial"/>
          <w:sz w:val="12"/>
          <w:szCs w:val="12"/>
          <w:color w:val="auto"/>
        </w:rPr>
        <w:t>per share, the midpoint of the price range set forth on the cover page of this prospectus.</w:t>
      </w:r>
    </w:p>
    <w:p>
      <w:pPr>
        <w:spacing w:after="0" w:line="11" w:lineRule="exact"/>
        <w:rPr>
          <w:sz w:val="20"/>
          <w:szCs w:val="20"/>
          <w:color w:val="auto"/>
        </w:rPr>
      </w:pPr>
    </w:p>
    <w:p>
      <w:pPr>
        <w:ind w:left="440" w:hanging="432"/>
        <w:spacing w:after="0" w:line="255" w:lineRule="auto"/>
        <w:tabs>
          <w:tab w:leader="none" w:pos="44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the number of unvested shares of our common stock that Dr. Godfrey held as of December 31, 2020, adjusted to reflect the 10:1 stock split, which occurred in November 2020, or the Stock Split. See the section titled “Equity Compensation” for a discussion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200"/>
        <w:spacing w:after="0" w:line="248" w:lineRule="auto"/>
        <w:rPr>
          <w:sz w:val="20"/>
          <w:szCs w:val="20"/>
          <w:color w:val="auto"/>
        </w:rPr>
      </w:pPr>
      <w:r>
        <w:rPr>
          <w:rFonts w:ascii="Arial" w:cs="Arial" w:eastAsia="Arial" w:hAnsi="Arial"/>
          <w:sz w:val="13"/>
          <w:szCs w:val="13"/>
          <w:color w:val="auto"/>
        </w:rPr>
        <w:t>of the Limited Options that were granted to Dr. Godfrey in 2020 and the subsequent treatment of the Limited Options. These unvested shares shall fully vest in the event of a “change in control” as defined in Dr. Godfrey’s stock restriction agreement.</w:t>
      </w:r>
    </w:p>
    <w:p>
      <w:pPr>
        <w:ind w:left="440" w:right="840" w:hanging="432"/>
        <w:spacing w:after="0" w:line="255" w:lineRule="auto"/>
        <w:tabs>
          <w:tab w:leader="none" w:pos="4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Dr. Bracegirdle had no equity awards outstanding as of December 31, 2020. See the section entitled “Equity Compensation” for a discussion of the Limited Options that were granted to Dr. Bracegirdle in 2020 and later forfeited in that same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equity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PepGen Inc. 2020 Stock Plan</w:t>
      </w:r>
    </w:p>
    <w:p>
      <w:pPr>
        <w:spacing w:after="0" w:line="90"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Our board of directors adopted and our stockholders approved our 2020 Stock Plan, or the 2020 Plan, in November 2020. Our 2020 Plan allows for the grant of incentive stock options, non-qualified stock options and restricted stock units to our employees, outside directors and consultants of the company, the parent, or any of our subsidiary corporations.</w:t>
      </w:r>
    </w:p>
    <w:p>
      <w:pPr>
        <w:spacing w:after="0" w:line="140"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No shares will be available for future issuance under the 2020 Plan following the effectiveness of the registration statement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prospectus forms a part. However, our 2020 Plan will continue to govern outstanding awards granted thereunder. As of September 29, 2021, we reserved an aggregate of 2,396,882 shares of our common stock for issuance of stock options and other equity awards under the 2020 Plan. The number is subject to adjustment in the event of a stock split, stock dividend, combination or consolidation of outstanding shares, reclassification, or other change in our capitalization. As of September 29, 2021, stock options to purchase 1,389,240 shares of our common stock at a weighted average exercise price of $6.02 per share, and no shares of restricted stock were outstanding under the 2020 Plan and 972,984 shares remained available for issuance under the 2020 Plan.</w:t>
      </w:r>
    </w:p>
    <w:p>
      <w:pPr>
        <w:spacing w:after="0" w:line="120" w:lineRule="exact"/>
        <w:rPr>
          <w:sz w:val="20"/>
          <w:szCs w:val="20"/>
          <w:color w:val="auto"/>
        </w:rPr>
      </w:pPr>
    </w:p>
    <w:p>
      <w:pPr>
        <w:ind w:right="280" w:firstLine="449"/>
        <w:spacing w:after="0" w:line="306" w:lineRule="auto"/>
        <w:rPr>
          <w:sz w:val="20"/>
          <w:szCs w:val="20"/>
          <w:color w:val="auto"/>
        </w:rPr>
      </w:pPr>
      <w:r>
        <w:rPr>
          <w:rFonts w:ascii="Arial" w:cs="Arial" w:eastAsia="Arial" w:hAnsi="Arial"/>
          <w:sz w:val="16"/>
          <w:szCs w:val="16"/>
          <w:color w:val="auto"/>
        </w:rPr>
        <w:t>Any shares of stock underlying awards that are terminated, surrendered or cancelled, are forfeited in whole or in part or otherwise result in shares of common stock not being issued are currently added back to the shares of common stock available for issuance under the 2020 Plan. Following this offering, such shares will be added to the shares of common stock available for issuance under the 2021 Plan.</w:t>
      </w:r>
    </w:p>
    <w:p>
      <w:pPr>
        <w:spacing w:after="0" w:line="10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2020 Plan may be administered by one or more committees, each consisting, as required by applicable law, of one or more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2020 Plan. Subject to the provisions of the 2020 Plan, the board of directors has full authority and discretion to take any actions it deems necessary or advisable for the administration of the 2020 Plan. Persons eligible to participate in the 2020 Plan will be employees, directors and consultants of our company, its parent, or any subsidiary, as selected from time to time by our board of directors (or a committee thereof) in its discretion.</w:t>
      </w:r>
    </w:p>
    <w:p>
      <w:pPr>
        <w:spacing w:after="0" w:line="12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2020 Plan permits the granting of (1) options to purchase common stock intended to qualify as incentive stock options under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Internal Revenue Code of 1986, as amended, or the Code, and (2) options that do not so qualify. The per share exercise price of each option is determined by our board of directors but may not be less than 100% of the fair market value of the common stock on the date of grant, subject to certain exceptions. The term of each option is fixed by our board of directors but may not exceed 10 years from the date of grant. Our board of directors determines at what time or times each option may be exercised.</w:t>
      </w:r>
    </w:p>
    <w:p>
      <w:pPr>
        <w:spacing w:after="0" w:line="147"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2020 Plan allows for the grant of restricted stock units, subject to such conditions and restrictions as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determine in its sole discretion.</w:t>
      </w:r>
    </w:p>
    <w:p>
      <w:pPr>
        <w:spacing w:after="0" w:line="132" w:lineRule="exact"/>
        <w:rPr>
          <w:sz w:val="20"/>
          <w:szCs w:val="20"/>
          <w:color w:val="auto"/>
        </w:rPr>
      </w:pPr>
    </w:p>
    <w:p>
      <w:pPr>
        <w:ind w:right="440" w:firstLine="449"/>
        <w:spacing w:after="0" w:line="306"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Pursuant to the 2020 Plan, our awards are subject to transfer restrictions as our board of directors may determine. The 2020 Plan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does not allow for the transfer or assignment of awards, other than, at the discretion of the plan administrator, by will or the laws of descent and distribution, or by instrument to an inter vivos or testamentary trust in which the award is passed to beneficiaries upon the death of the participant.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i w:val="1"/>
          <w:iCs w:val="1"/>
          <w:color w:val="auto"/>
        </w:rPr>
        <w:t>Corporate Transaction</w:t>
      </w:r>
      <w:r>
        <w:rPr>
          <w:rFonts w:ascii="Arial" w:cs="Arial" w:eastAsia="Arial" w:hAnsi="Arial"/>
          <w:sz w:val="16"/>
          <w:szCs w:val="16"/>
          <w:color w:val="auto"/>
        </w:rPr>
        <w:t>. The 2020 provides that in the event the company is a party to a merger or consolidation, or in the event of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company’s stock or assets, all shares of common stock acquired under the 2020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The treatment specified in the transaction agreement or as determined by the board of directors may include, without limitation, one or more of the following with respect to each outstanding award: (a) continuation, assumption or substitution with a comparable award; accelerate the vesting of the award, (b) cancellation in exchange for payment with respect to the vested portion of an award equal to the excess of the value, as determined by the board of directors, of the property received by the holder of a share of stock in the transaction, over, if applicable, the per share exercise price of the award (or no payment if the per share exercise price exceeds the value of the property received in the transaction); (c) cancellation of an option for no consideration, provided that the holder is given notice and the opportunity to exercise the option to the extent vested or will become vested as of the effective date of the transaction during a period of not less than five business days preceding the effective date of the transaction; or (d) 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27"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The 2020 Plan shall terminate automatically 10 years after the later of (i) the date when the board of directors adopted the plan or (ii) the date when the board of directors approved the most recent increase in the number of shares reserved under the plan that was also approved by the Company’s stockholders. Our board of directors may amend, suspend, or terminate the 2020 Plan at any time, subject to stockholder approval where such approval is required by applicable law.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named executive officers did not participate in, or earn any benefits under, a nonqualified deferred compensation plan sponsored by us during fiscal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Scheme</w:t>
      </w:r>
    </w:p>
    <w:p>
      <w:pPr>
        <w:spacing w:after="0" w:line="90"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The Company currently maintains a personal pension plan provided by the People’s Pension Scheme pursuant to which it makes contributions to our UK eligible employee’s personal pension plan as we select. Each participant may make additional contributions at his or her discretion. Under this plan, the Company contributes a certain percentage of Dr. Godfrey’s base salary to this group personal pension scheme.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90"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Dr. Godfrey is eligible to participate in our employee benefit plans on the same basis as our other employees, including our health and welfare plans. Dr. Bracegirdle, who provides services to the Company pursuant to a consulting agreement, is not eligible to participate in our employee benefit plans, including our health and welfare plans.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320" w:top="459" w:right="3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96" w:lineRule="exact"/>
        <w:rPr>
          <w:sz w:val="20"/>
          <w:szCs w:val="20"/>
          <w:color w:val="auto"/>
        </w:rPr>
      </w:pPr>
    </w:p>
    <w:p>
      <w:pPr>
        <w:ind w:right="20" w:firstLine="449"/>
        <w:spacing w:after="0" w:line="314" w:lineRule="auto"/>
        <w:rPr>
          <w:sz w:val="20"/>
          <w:szCs w:val="20"/>
          <w:color w:val="auto"/>
        </w:rPr>
      </w:pPr>
      <w:r>
        <w:rPr>
          <w:rFonts w:ascii="Arial" w:cs="Arial" w:eastAsia="Arial" w:hAnsi="Arial"/>
          <w:sz w:val="15"/>
          <w:szCs w:val="15"/>
          <w:color w:val="auto"/>
        </w:rPr>
        <w:t>The following table presents the total compensation for each person who served as a non-employee member of our board of directors during the fiscal year ended December 31, 2020. Other than as set forth in the table and described more fully below, we did not pay any compensation, make any equity awards or non-equity awards to, or pay any other compensation to any of the non-employee members of our board of directors in 2020 for their services as members of our board of directors. Caroline Godfrey, Ph.D., our former Chief Executive Officer, received no additional compensation for her service as a director. See the section titled “Executive Compensation” for more information on the compensation paid to or earned by Dr. Godfrey for year ended December 31, 2020. The USD amounts below are based on a weighted-average exchange ratio of GBP £0.7794 to USD $1.00 for the reporting period as set forth on Bloomberg: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4"/>
              </w:rPr>
              <w:t>All Other</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w w:val="89"/>
              </w:rPr>
              <w:t>Name</w:t>
            </w:r>
          </w:p>
        </w:tc>
        <w:tc>
          <w:tcPr>
            <w:tcW w:w="4040" w:type="dxa"/>
            <w:vAlign w:val="bottom"/>
            <w:vMerge w:val="restart"/>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8"/>
                <w:szCs w:val="18"/>
                <w:b w:val="1"/>
                <w:bCs w:val="1"/>
                <w:color w:val="auto"/>
              </w:rPr>
              <w:t>Fees Earned or</w:t>
            </w:r>
          </w:p>
        </w:tc>
        <w:tc>
          <w:tcPr>
            <w:tcW w:w="20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85"/>
              </w:rPr>
              <w:t>Stock</w:t>
            </w:r>
          </w:p>
        </w:tc>
        <w:tc>
          <w:tcPr>
            <w:tcW w:w="2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6"/>
              </w:rPr>
              <w:t>Compensation</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Borders>
              <w:bottom w:val="single" w:sz="8" w:color="auto"/>
            </w:tcBorders>
            <w:vMerge w:val="continue"/>
          </w:tcPr>
          <w:p>
            <w:pPr>
              <w:spacing w:after="0"/>
              <w:rPr>
                <w:sz w:val="18"/>
                <w:szCs w:val="18"/>
                <w:color w:val="auto"/>
              </w:rPr>
            </w:pPr>
          </w:p>
        </w:tc>
        <w:tc>
          <w:tcPr>
            <w:tcW w:w="4040" w:type="dxa"/>
            <w:vAlign w:val="bottom"/>
            <w:vMerge w:val="continue"/>
          </w:tcPr>
          <w:p>
            <w:pPr>
              <w:spacing w:after="0"/>
              <w:rPr>
                <w:sz w:val="18"/>
                <w:szCs w:val="18"/>
                <w:color w:val="auto"/>
              </w:rPr>
            </w:pPr>
          </w:p>
        </w:tc>
        <w:tc>
          <w:tcPr>
            <w:tcW w:w="19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88"/>
              </w:rPr>
              <w:t xml:space="preserve">Paid in Cash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p>
        </w:tc>
        <w:tc>
          <w:tcPr>
            <w:tcW w:w="20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4"/>
              </w:rPr>
              <w:t xml:space="preserve">Awards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)(1)(2)</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5"/>
              </w:rPr>
              <w:t xml:space="preserve">Total </w:t>
            </w: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w:t>
            </w:r>
          </w:p>
        </w:tc>
        <w:tc>
          <w:tcPr>
            <w:tcW w:w="0" w:type="dxa"/>
            <w:vAlign w:val="bottom"/>
          </w:tcPr>
          <w:p>
            <w:pPr>
              <w:spacing w:after="0"/>
              <w:rPr>
                <w:sz w:val="1"/>
                <w:szCs w:val="1"/>
                <w:color w:val="auto"/>
              </w:rPr>
            </w:pPr>
          </w:p>
        </w:tc>
      </w:tr>
      <w:tr>
        <w:trPr>
          <w:trHeight w:val="20"/>
        </w:trPr>
        <w:tc>
          <w:tcPr>
            <w:tcW w:w="4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Matthew Wood, M.D., Ph.D.</w:t>
            </w:r>
          </w:p>
        </w:tc>
        <w:tc>
          <w:tcPr>
            <w:tcW w:w="12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gridSpan w:val="2"/>
            <w:vMerge w:val="continue"/>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vMerge w:val="continue"/>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10,633</w:t>
            </w:r>
          </w:p>
        </w:tc>
        <w:tc>
          <w:tcPr>
            <w:tcW w:w="760" w:type="dxa"/>
            <w:vAlign w:val="bottom"/>
            <w:vMerge w:val="continue"/>
            <w:shd w:val="clear" w:color="auto" w:fill="CCEEFF"/>
          </w:tcPr>
          <w:p>
            <w:pPr>
              <w:spacing w:after="0"/>
              <w:rPr>
                <w:sz w:val="17"/>
                <w:szCs w:val="17"/>
                <w:color w:val="auto"/>
              </w:rPr>
            </w:pPr>
          </w:p>
        </w:tc>
        <w:tc>
          <w:tcPr>
            <w:tcW w:w="2040" w:type="dxa"/>
            <w:vAlign w:val="bottom"/>
            <w:gridSpan w:val="2"/>
            <w:shd w:val="clear" w:color="auto" w:fill="CCEEFF"/>
          </w:tcPr>
          <w:p>
            <w:pPr>
              <w:jc w:val="right"/>
              <w:ind w:right="740"/>
              <w:spacing w:after="0" w:line="203" w:lineRule="exact"/>
              <w:rPr>
                <w:sz w:val="20"/>
                <w:szCs w:val="20"/>
                <w:color w:val="auto"/>
              </w:rPr>
            </w:pPr>
            <w:r>
              <w:rPr>
                <w:rFonts w:ascii="Arial" w:cs="Arial" w:eastAsia="Arial" w:hAnsi="Arial"/>
                <w:sz w:val="18"/>
                <w:szCs w:val="18"/>
                <w:color w:val="auto"/>
              </w:rPr>
              <w:t>30,790(3)</w:t>
            </w:r>
          </w:p>
        </w:tc>
        <w:tc>
          <w:tcPr>
            <w:tcW w:w="6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41,423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Christopher Ashton, Ph.D.</w:t>
            </w: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 Resnick, M.D., M.B.A.</w:t>
            </w:r>
          </w:p>
        </w:tc>
        <w:tc>
          <w:tcPr>
            <w:tcW w:w="19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Ramin Farzaneh-Far, M.D.</w:t>
            </w:r>
          </w:p>
        </w:tc>
        <w:tc>
          <w:tcPr>
            <w:tcW w:w="1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886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1" w:lineRule="exact"/>
        <w:rPr>
          <w:sz w:val="20"/>
          <w:szCs w:val="20"/>
          <w:color w:val="auto"/>
        </w:rPr>
      </w:pPr>
    </w:p>
    <w:p>
      <w:pPr>
        <w:ind w:left="440" w:right="60" w:hanging="432"/>
        <w:spacing w:after="0" w:line="248" w:lineRule="auto"/>
        <w:tabs>
          <w:tab w:leader="none" w:pos="4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Amount reflects the incremental fair value related to the modification of Dr. Wood’s outstanding shares in November 2020 in connection with the Reorganization, pursuant to which Dr. Wood and the Company agreed to the imposition of time-based vesting conditions on 50% of all shares held by Dr. Wood.</w:t>
      </w:r>
    </w:p>
    <w:p>
      <w:pPr>
        <w:ind w:left="440" w:right="60" w:hanging="432"/>
        <w:spacing w:after="0" w:line="238" w:lineRule="auto"/>
        <w:tabs>
          <w:tab w:leader="none" w:pos="4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As of December 31, 2020, Matthew Wood held 110,000 unvested shares of our common stock, as adjusted to reflect the Stock Split. As of December 31, 2020, none of our non-employee members of our board of directors held any stock options or unvested shares of our common stock</w:t>
      </w:r>
    </w:p>
    <w:p>
      <w:pPr>
        <w:ind w:left="440" w:hanging="432"/>
        <w:spacing w:after="0"/>
        <w:tabs>
          <w:tab w:leader="none" w:pos="44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Amounts reported represent fees paid to Dr. Wood pursuant to a consultancy agreement with PepGen Limited.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96"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In connection with this offering, we intend to adopt a non-employee director compensation policy that will become effective upon the completion of this offering and will be designed to enable us to attract and retain, on a long-term basis, highly qualified non-employee directors.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description of transactions or series of transactions since January 1, 2018, to which we were or will be a party, in which:</w:t>
      </w:r>
    </w:p>
    <w:p>
      <w:pPr>
        <w:spacing w:after="0" w:line="113" w:lineRule="exact"/>
        <w:rPr>
          <w:sz w:val="20"/>
          <w:szCs w:val="20"/>
          <w:color w:val="auto"/>
        </w:rPr>
      </w:pPr>
    </w:p>
    <w:p>
      <w:pPr>
        <w:ind w:left="880" w:right="160" w:hanging="427"/>
        <w:spacing w:after="0" w:line="268"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 involved in the transaction exceeds, or will exceed, the lesser of $120,000 or one percent of the average of the Company’s total assets for the last two completed fiscal years; and</w:t>
      </w:r>
    </w:p>
    <w:p>
      <w:pPr>
        <w:spacing w:after="0" w:line="50" w:lineRule="exact"/>
        <w:rPr>
          <w:rFonts w:ascii="Arial" w:cs="Arial" w:eastAsia="Arial" w:hAnsi="Arial"/>
          <w:sz w:val="18"/>
          <w:szCs w:val="18"/>
          <w:color w:val="auto"/>
        </w:rPr>
      </w:pPr>
    </w:p>
    <w:p>
      <w:pPr>
        <w:ind w:left="880" w:right="400" w:hanging="427"/>
        <w:spacing w:after="0" w:line="268"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which any of our executive officers, directors or holders of five percent or more of any class of our capital stock, including their immediate family members or affiliated entities, had or will have a direct or indirect material interest.</w:t>
      </w:r>
    </w:p>
    <w:p>
      <w:pPr>
        <w:spacing w:after="0" w:line="132" w:lineRule="exact"/>
        <w:rPr>
          <w:sz w:val="20"/>
          <w:szCs w:val="20"/>
          <w:color w:val="auto"/>
        </w:rPr>
      </w:pPr>
    </w:p>
    <w:p>
      <w:pPr>
        <w:ind w:right="960" w:firstLine="449"/>
        <w:spacing w:after="0" w:line="268" w:lineRule="auto"/>
        <w:rPr>
          <w:sz w:val="20"/>
          <w:szCs w:val="20"/>
          <w:color w:val="auto"/>
        </w:rPr>
      </w:pPr>
      <w:r>
        <w:rPr>
          <w:rFonts w:ascii="Arial" w:cs="Arial" w:eastAsia="Arial" w:hAnsi="Arial"/>
          <w:sz w:val="18"/>
          <w:szCs w:val="18"/>
          <w:color w:val="auto"/>
        </w:rPr>
        <w:t>Compensation arrangements for our named executive officers and our directors are described elsewhere in this prospectus under “Executive Compensation” and “Director Compensation—Non-Employee Director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A-1 Convertible Preferred Stock Financing</w:t>
      </w:r>
    </w:p>
    <w:p>
      <w:pPr>
        <w:spacing w:after="0" w:line="90" w:lineRule="exact"/>
        <w:rPr>
          <w:sz w:val="20"/>
          <w:szCs w:val="20"/>
          <w:color w:val="auto"/>
        </w:rPr>
      </w:pPr>
    </w:p>
    <w:p>
      <w:pPr>
        <w:ind w:right="380" w:firstLine="449"/>
        <w:spacing w:after="0" w:line="331" w:lineRule="auto"/>
        <w:rPr>
          <w:sz w:val="20"/>
          <w:szCs w:val="20"/>
          <w:color w:val="auto"/>
        </w:rPr>
      </w:pPr>
      <w:r>
        <w:rPr>
          <w:rFonts w:ascii="Arial" w:cs="Arial" w:eastAsia="Arial" w:hAnsi="Arial"/>
          <w:sz w:val="16"/>
          <w:szCs w:val="16"/>
          <w:color w:val="auto"/>
        </w:rPr>
        <w:t>In November 2020, we sold an aggregate of 1,372,970 shares of Series A-1 convertible preferred stock at a purchase price of $11.4240 per share for aggregate proceeds of $15.7 million. The following table summarizes purchases of our Series A-1 convertible preferred stock by related persons: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w w:val="90"/>
              </w:rPr>
              <w:t>Participant</w:t>
            </w:r>
          </w:p>
        </w:tc>
        <w:tc>
          <w:tcPr>
            <w:tcW w:w="7040" w:type="dxa"/>
            <w:vAlign w:val="bottom"/>
            <w:vMerge w:val="restart"/>
          </w:tcPr>
          <w:p>
            <w:pPr>
              <w:spacing w:after="0"/>
              <w:rPr>
                <w:sz w:val="18"/>
                <w:szCs w:val="18"/>
                <w:color w:val="auto"/>
              </w:rPr>
            </w:pPr>
          </w:p>
        </w:tc>
        <w:tc>
          <w:tcPr>
            <w:tcW w:w="21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5"/>
              </w:rPr>
              <w:t>Shares of Series A</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5"/>
              </w:rPr>
              <w:t>Total Purchase</w:t>
            </w:r>
          </w:p>
        </w:tc>
        <w:tc>
          <w:tcPr>
            <w:tcW w:w="0" w:type="dxa"/>
            <w:vAlign w:val="bottom"/>
          </w:tcPr>
          <w:p>
            <w:pPr>
              <w:spacing w:after="0"/>
              <w:rPr>
                <w:sz w:val="1"/>
                <w:szCs w:val="1"/>
                <w:color w:val="auto"/>
              </w:rPr>
            </w:pPr>
          </w:p>
        </w:tc>
      </w:tr>
      <w:tr>
        <w:trPr>
          <w:trHeight w:val="237"/>
        </w:trPr>
        <w:tc>
          <w:tcPr>
            <w:tcW w:w="860" w:type="dxa"/>
            <w:vAlign w:val="bottom"/>
            <w:tcBorders>
              <w:bottom w:val="single" w:sz="8" w:color="auto"/>
            </w:tcBorders>
            <w:vMerge w:val="continue"/>
          </w:tcPr>
          <w:p>
            <w:pPr>
              <w:spacing w:after="0"/>
              <w:rPr>
                <w:sz w:val="20"/>
                <w:szCs w:val="20"/>
                <w:color w:val="auto"/>
              </w:rPr>
            </w:pPr>
          </w:p>
        </w:tc>
        <w:tc>
          <w:tcPr>
            <w:tcW w:w="7040" w:type="dxa"/>
            <w:vAlign w:val="bottom"/>
            <w:vMerge w:val="continue"/>
          </w:tcPr>
          <w:p>
            <w:pPr>
              <w:spacing w:after="0"/>
              <w:rPr>
                <w:sz w:val="20"/>
                <w:szCs w:val="20"/>
                <w:color w:val="auto"/>
              </w:rPr>
            </w:pPr>
          </w:p>
        </w:tc>
        <w:tc>
          <w:tcPr>
            <w:tcW w:w="21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9"/>
              </w:rPr>
              <w:t>Preferred Stock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Price ($)</w:t>
            </w:r>
          </w:p>
        </w:tc>
        <w:tc>
          <w:tcPr>
            <w:tcW w:w="0" w:type="dxa"/>
            <w:vAlign w:val="bottom"/>
          </w:tcPr>
          <w:p>
            <w:pPr>
              <w:spacing w:after="0"/>
              <w:rPr>
                <w:sz w:val="1"/>
                <w:szCs w:val="1"/>
                <w:color w:val="auto"/>
              </w:rPr>
            </w:pPr>
          </w:p>
        </w:tc>
      </w:tr>
      <w:tr>
        <w:trPr>
          <w:trHeight w:val="203"/>
        </w:trPr>
        <w:tc>
          <w:tcPr>
            <w:tcW w:w="7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Oxford Science Enterprises plc(1)</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1,285,720</w:t>
            </w:r>
          </w:p>
        </w:tc>
        <w:tc>
          <w:tcPr>
            <w:tcW w:w="8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14,688,065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The Chancellor Masters and Scholars of the University of Oxford</w:t>
            </w:r>
          </w:p>
        </w:tc>
        <w:tc>
          <w:tcPr>
            <w:tcW w:w="1360" w:type="dxa"/>
            <w:vAlign w:val="bottom"/>
          </w:tcPr>
          <w:p>
            <w:pPr>
              <w:jc w:val="right"/>
              <w:spacing w:after="0"/>
              <w:rPr>
                <w:sz w:val="20"/>
                <w:szCs w:val="20"/>
                <w:color w:val="auto"/>
              </w:rPr>
            </w:pPr>
            <w:r>
              <w:rPr>
                <w:rFonts w:ascii="Arial" w:cs="Arial" w:eastAsia="Arial" w:hAnsi="Arial"/>
                <w:sz w:val="18"/>
                <w:szCs w:val="18"/>
                <w:color w:val="auto"/>
              </w:rPr>
              <w:t>87,250</w:t>
            </w:r>
          </w:p>
        </w:tc>
        <w:tc>
          <w:tcPr>
            <w:tcW w:w="8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996,744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886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1" w:lineRule="exact"/>
        <w:rPr>
          <w:sz w:val="20"/>
          <w:szCs w:val="20"/>
          <w:color w:val="auto"/>
        </w:rPr>
      </w:pPr>
    </w:p>
    <w:p>
      <w:pPr>
        <w:ind w:left="440" w:right="20" w:hanging="432"/>
        <w:spacing w:after="0" w:line="274" w:lineRule="auto"/>
        <w:tabs>
          <w:tab w:leader="none" w:pos="4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Oxford Science Enterprises plc beneficially owns more than five percent of our outstanding capital stock. Christopher Ashton, Ph.D., is an affiliate of Oxford Sciences Innovation plc and a member of our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A-2 Convertible Preferred Stock Financing</w:t>
      </w:r>
    </w:p>
    <w:p>
      <w:pPr>
        <w:spacing w:after="0" w:line="90"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November 2020, with subsequent closings in May 2021 and July 2021, we sold an aggregate of 3,939,069 shares of Series A-2 convertible preferred stock at a purchase price of $11.4240 per share for aggregate proceeds of $45.0 million. The following table summarizes purchases of our Series A-2 convertible preferred stock by related persons: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Shares of</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Series A</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Purchase</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w w:val="90"/>
              </w:rPr>
              <w:t>Participant</w:t>
            </w:r>
          </w:p>
        </w:tc>
        <w:tc>
          <w:tcPr>
            <w:tcW w:w="8120" w:type="dxa"/>
            <w:vAlign w:val="bottom"/>
            <w:vMerge w:val="restart"/>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Preferred</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237"/>
        </w:trPr>
        <w:tc>
          <w:tcPr>
            <w:tcW w:w="860" w:type="dxa"/>
            <w:vAlign w:val="bottom"/>
            <w:tcBorders>
              <w:bottom w:val="single" w:sz="8" w:color="auto"/>
            </w:tcBorders>
            <w:vMerge w:val="continue"/>
          </w:tcPr>
          <w:p>
            <w:pPr>
              <w:spacing w:after="0"/>
              <w:rPr>
                <w:sz w:val="20"/>
                <w:szCs w:val="20"/>
                <w:color w:val="auto"/>
              </w:rPr>
            </w:pPr>
          </w:p>
        </w:tc>
        <w:tc>
          <w:tcPr>
            <w:tcW w:w="8120" w:type="dxa"/>
            <w:vAlign w:val="bottom"/>
            <w:vMerge w:val="continue"/>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RA Capital Management, L.P.(1)</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2,801,119</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31,999,983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Oxford Science Enterprises plc(2)</w:t>
            </w:r>
          </w:p>
        </w:tc>
        <w:tc>
          <w:tcPr>
            <w:tcW w:w="960" w:type="dxa"/>
            <w:vAlign w:val="bottom"/>
          </w:tcPr>
          <w:p>
            <w:pPr>
              <w:jc w:val="right"/>
              <w:spacing w:after="0"/>
              <w:rPr>
                <w:sz w:val="20"/>
                <w:szCs w:val="20"/>
                <w:color w:val="auto"/>
              </w:rPr>
            </w:pPr>
            <w:r>
              <w:rPr>
                <w:rFonts w:ascii="Arial" w:cs="Arial" w:eastAsia="Arial" w:hAnsi="Arial"/>
                <w:sz w:val="18"/>
                <w:szCs w:val="18"/>
                <w:color w:val="auto"/>
              </w:rPr>
              <w:t>962,884</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10,999,987</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Chancellor Masters and Scholars of the University of Oxford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999,977</w:t>
            </w: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CureDuchenne Ventures, LLC</w:t>
            </w:r>
          </w:p>
        </w:tc>
        <w:tc>
          <w:tcPr>
            <w:tcW w:w="960" w:type="dxa"/>
            <w:vAlign w:val="bottom"/>
          </w:tcPr>
          <w:p>
            <w:pPr>
              <w:jc w:val="right"/>
              <w:spacing w:after="0"/>
              <w:rPr>
                <w:sz w:val="20"/>
                <w:szCs w:val="20"/>
                <w:color w:val="auto"/>
              </w:rPr>
            </w:pPr>
            <w:r>
              <w:rPr>
                <w:rFonts w:ascii="Arial" w:cs="Arial" w:eastAsia="Arial" w:hAnsi="Arial"/>
                <w:sz w:val="18"/>
                <w:szCs w:val="18"/>
                <w:color w:val="auto"/>
              </w:rPr>
              <w:t>87,533</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886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1" w:lineRule="exact"/>
        <w:rPr>
          <w:sz w:val="20"/>
          <w:szCs w:val="20"/>
          <w:color w:val="auto"/>
        </w:rPr>
      </w:pPr>
    </w:p>
    <w:p>
      <w:pPr>
        <w:ind w:left="440" w:right="20" w:hanging="432"/>
        <w:spacing w:after="0" w:line="248" w:lineRule="auto"/>
        <w:tabs>
          <w:tab w:leader="none" w:pos="4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Entities affiliated with RA Capital Management, L.P., or RA Capital, beneficially own more than five percent of our outstanding capital stock. Joshua Resnick, M.D., M.B.A. and Ramin Farzaneh-Far, M.D., are affiliates of RA Capital and are members of our board of directors.</w:t>
      </w:r>
    </w:p>
    <w:p>
      <w:pPr>
        <w:ind w:left="440" w:right="60" w:hanging="432"/>
        <w:spacing w:after="0" w:line="255" w:lineRule="auto"/>
        <w:tabs>
          <w:tab w:leader="none" w:pos="4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Oxford Science Enterprises plc beneficially owns more than five percent of our outstanding capital stock. Christopher Ashton, Ph.D., is an affiliate of Oxford Science Enterprises plc and a member of our board of directors.</w:t>
      </w:r>
    </w:p>
    <w:p>
      <w:pPr>
        <w:spacing w:after="0" w:line="132"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In connection with the Series A-2 convertible preferred stock financing, we also issued to entities affiliated with RA Capital warrants to purchase, in the aggregate, up to 35,529 shares of Series A-2 convertible preferred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 Financing</w:t>
      </w:r>
    </w:p>
    <w:p>
      <w:pPr>
        <w:spacing w:after="0" w:line="90" w:lineRule="exact"/>
        <w:rPr>
          <w:sz w:val="20"/>
          <w:szCs w:val="20"/>
          <w:color w:val="auto"/>
        </w:rPr>
      </w:pPr>
    </w:p>
    <w:p>
      <w:pPr>
        <w:ind w:right="180" w:firstLine="449"/>
        <w:spacing w:after="0" w:line="331" w:lineRule="auto"/>
        <w:rPr>
          <w:sz w:val="20"/>
          <w:szCs w:val="20"/>
          <w:color w:val="auto"/>
        </w:rPr>
      </w:pPr>
      <w:r>
        <w:rPr>
          <w:rFonts w:ascii="Arial" w:cs="Arial" w:eastAsia="Arial" w:hAnsi="Arial"/>
          <w:sz w:val="16"/>
          <w:szCs w:val="16"/>
          <w:color w:val="auto"/>
        </w:rPr>
        <w:t>In July 2021, we sold an aggregate of 7,234,766 shares of Series B Convertible Preferred Stock at a purchase price of $15.5499 per share for aggregate proceeds of $112.5 million. The following table summarizes purchases of our Series B Convertible Preferred Stock by related persons: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Shares of</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Series B</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Purchase</w:t>
            </w: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w w:val="90"/>
              </w:rPr>
              <w:t>Participant</w:t>
            </w:r>
          </w:p>
        </w:tc>
        <w:tc>
          <w:tcPr>
            <w:tcW w:w="8120" w:type="dxa"/>
            <w:vAlign w:val="bottom"/>
            <w:vMerge w:val="restart"/>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Preferred</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237"/>
        </w:trPr>
        <w:tc>
          <w:tcPr>
            <w:tcW w:w="860" w:type="dxa"/>
            <w:vAlign w:val="bottom"/>
            <w:tcBorders>
              <w:bottom w:val="single" w:sz="8" w:color="auto"/>
            </w:tcBorders>
            <w:vMerge w:val="continue"/>
          </w:tcPr>
          <w:p>
            <w:pPr>
              <w:spacing w:after="0"/>
              <w:rPr>
                <w:sz w:val="20"/>
                <w:szCs w:val="20"/>
                <w:color w:val="auto"/>
              </w:rPr>
            </w:pPr>
          </w:p>
        </w:tc>
        <w:tc>
          <w:tcPr>
            <w:tcW w:w="8120" w:type="dxa"/>
            <w:vAlign w:val="bottom"/>
            <w:vMerge w:val="continue"/>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RA Capital(1)</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2,154,354</w:t>
            </w: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33,499,990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Oxford Science Enterprises plc(2)</w:t>
            </w:r>
          </w:p>
        </w:tc>
        <w:tc>
          <w:tcPr>
            <w:tcW w:w="960" w:type="dxa"/>
            <w:vAlign w:val="bottom"/>
          </w:tcPr>
          <w:p>
            <w:pPr>
              <w:jc w:val="right"/>
              <w:spacing w:after="0"/>
              <w:rPr>
                <w:sz w:val="20"/>
                <w:szCs w:val="20"/>
                <w:color w:val="auto"/>
              </w:rPr>
            </w:pPr>
            <w:r>
              <w:rPr>
                <w:rFonts w:ascii="Arial" w:cs="Arial" w:eastAsia="Arial" w:hAnsi="Arial"/>
                <w:sz w:val="18"/>
                <w:szCs w:val="18"/>
                <w:color w:val="auto"/>
              </w:rPr>
              <w:t>1,575,572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24,499,987</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KAVRA 16 LLC(3)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1,093,254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16,999,990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Entities Affiliated with Deerfield Partners</w:t>
            </w:r>
          </w:p>
        </w:tc>
        <w:tc>
          <w:tcPr>
            <w:tcW w:w="960" w:type="dxa"/>
            <w:vAlign w:val="bottom"/>
          </w:tcPr>
          <w:p>
            <w:pPr>
              <w:jc w:val="right"/>
              <w:spacing w:after="0"/>
              <w:rPr>
                <w:sz w:val="20"/>
                <w:szCs w:val="20"/>
                <w:color w:val="auto"/>
              </w:rPr>
            </w:pPr>
            <w:r>
              <w:rPr>
                <w:rFonts w:ascii="Arial" w:cs="Arial" w:eastAsia="Arial" w:hAnsi="Arial"/>
                <w:sz w:val="18"/>
                <w:szCs w:val="18"/>
                <w:color w:val="auto"/>
              </w:rPr>
              <w:t>546,626</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8,499,980</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Al-Rayyan Holding LLC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418,009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6,499,998</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Adage Capital Partners, LP</w:t>
            </w:r>
          </w:p>
        </w:tc>
        <w:tc>
          <w:tcPr>
            <w:tcW w:w="960" w:type="dxa"/>
            <w:vAlign w:val="bottom"/>
          </w:tcPr>
          <w:p>
            <w:pPr>
              <w:jc w:val="right"/>
              <w:spacing w:after="0"/>
              <w:rPr>
                <w:sz w:val="20"/>
                <w:szCs w:val="20"/>
                <w:color w:val="auto"/>
              </w:rPr>
            </w:pPr>
            <w:r>
              <w:rPr>
                <w:rFonts w:ascii="Arial" w:cs="Arial" w:eastAsia="Arial" w:hAnsi="Arial"/>
                <w:sz w:val="18"/>
                <w:szCs w:val="18"/>
                <w:color w:val="auto"/>
              </w:rPr>
              <w:t>321,545</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4,999,993</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Averill Master Fund, Ltd.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321,545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4,999,993</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Entities Affiliated with Samsara Biocapital</w:t>
            </w:r>
          </w:p>
        </w:tc>
        <w:tc>
          <w:tcPr>
            <w:tcW w:w="960" w:type="dxa"/>
            <w:vAlign w:val="bottom"/>
          </w:tcPr>
          <w:p>
            <w:pPr>
              <w:jc w:val="right"/>
              <w:spacing w:after="0"/>
              <w:rPr>
                <w:sz w:val="20"/>
                <w:szCs w:val="20"/>
                <w:color w:val="auto"/>
              </w:rPr>
            </w:pPr>
            <w:r>
              <w:rPr>
                <w:rFonts w:ascii="Arial" w:cs="Arial" w:eastAsia="Arial" w:hAnsi="Arial"/>
                <w:sz w:val="18"/>
                <w:szCs w:val="18"/>
                <w:color w:val="auto"/>
              </w:rPr>
              <w:t>321,545</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4,999,993</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Laurion Capital Master Fund Ltd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192,927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2,999,996</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Xantium Partners L.P.</w:t>
            </w:r>
          </w:p>
        </w:tc>
        <w:tc>
          <w:tcPr>
            <w:tcW w:w="960" w:type="dxa"/>
            <w:vAlign w:val="bottom"/>
          </w:tcPr>
          <w:p>
            <w:pPr>
              <w:jc w:val="right"/>
              <w:spacing w:after="0"/>
              <w:rPr>
                <w:sz w:val="20"/>
                <w:szCs w:val="20"/>
                <w:color w:val="auto"/>
              </w:rPr>
            </w:pPr>
            <w:r>
              <w:rPr>
                <w:rFonts w:ascii="Arial" w:cs="Arial" w:eastAsia="Arial" w:hAnsi="Arial"/>
                <w:sz w:val="18"/>
                <w:szCs w:val="18"/>
                <w:color w:val="auto"/>
              </w:rPr>
              <w:t>160,772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2,499,989</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Gray’s Creek Capital Partners Fund I</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1,499,990</w:t>
            </w: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CureDuchenne Ventures, LLC</w:t>
            </w:r>
          </w:p>
        </w:tc>
        <w:tc>
          <w:tcPr>
            <w:tcW w:w="960" w:type="dxa"/>
            <w:vAlign w:val="bottom"/>
          </w:tcPr>
          <w:p>
            <w:pPr>
              <w:jc w:val="right"/>
              <w:spacing w:after="0"/>
              <w:rPr>
                <w:sz w:val="20"/>
                <w:szCs w:val="20"/>
                <w:color w:val="auto"/>
              </w:rPr>
            </w:pPr>
            <w:r>
              <w:rPr>
                <w:rFonts w:ascii="Arial" w:cs="Arial" w:eastAsia="Arial" w:hAnsi="Arial"/>
                <w:sz w:val="18"/>
                <w:szCs w:val="18"/>
                <w:color w:val="auto"/>
              </w:rPr>
              <w:t>32,154</w:t>
            </w: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499,991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886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1" w:lineRule="exact"/>
        <w:rPr>
          <w:sz w:val="20"/>
          <w:szCs w:val="20"/>
          <w:color w:val="auto"/>
        </w:rPr>
      </w:pPr>
    </w:p>
    <w:p>
      <w:pPr>
        <w:ind w:left="440" w:right="40" w:hanging="432"/>
        <w:spacing w:after="0" w:line="248" w:lineRule="auto"/>
        <w:tabs>
          <w:tab w:leader="none" w:pos="4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Entities affiliated with RA Capital beneficially own more than five percent of our outstanding capital stock. Joshua Resnick, M.D., M.B.A. and Ramin Farzaneh-Far, M.D., are affiliates of RA Capital and are members of our board of directors.</w:t>
      </w:r>
    </w:p>
    <w:p>
      <w:pPr>
        <w:ind w:left="440" w:right="60" w:hanging="432"/>
        <w:spacing w:after="0" w:line="238" w:lineRule="auto"/>
        <w:tabs>
          <w:tab w:leader="none" w:pos="4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Oxford Science Enterprises plc beneficially owns more than five percent of our outstanding capital stock. Christopher Ashton, Ph.D., is an affiliate of Oxford Science Enterprises plc and a member of our board of directors.</w:t>
      </w:r>
    </w:p>
    <w:p>
      <w:pPr>
        <w:ind w:left="440" w:hanging="432"/>
        <w:spacing w:after="0"/>
        <w:tabs>
          <w:tab w:leader="none" w:pos="4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KAVRA 16 LLC beneficially owns more than five percent of our outstanding capital stock.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OUI and MRC</w:t>
      </w:r>
    </w:p>
    <w:p>
      <w:pPr>
        <w:spacing w:after="0" w:line="96" w:lineRule="exact"/>
        <w:rPr>
          <w:sz w:val="20"/>
          <w:szCs w:val="20"/>
          <w:color w:val="auto"/>
        </w:rPr>
      </w:pPr>
    </w:p>
    <w:p>
      <w:pPr>
        <w:ind w:right="220" w:firstLine="449"/>
        <w:spacing w:after="0" w:line="323" w:lineRule="auto"/>
        <w:rPr>
          <w:sz w:val="20"/>
          <w:szCs w:val="20"/>
          <w:color w:val="auto"/>
        </w:rPr>
      </w:pPr>
      <w:r>
        <w:rPr>
          <w:rFonts w:ascii="Arial" w:cs="Arial" w:eastAsia="Arial" w:hAnsi="Arial"/>
          <w:sz w:val="15"/>
          <w:szCs w:val="15"/>
          <w:color w:val="auto"/>
        </w:rPr>
        <w:t>In March 2018, we entered into a license agreement, or OUI/MRC License, with Oxford University Innovation Limited, or OUI, and the Medical Research Council of United Kingdom Research and Innovation, or MRC, which was subsequently amended in December 2018 and further amended and restated in November 2020. Each of OUI and MRC and their affiliates hold shares of the our Series A-1 and Series A-2 preferred stock and Class A common stock. For more information about the OUI/MRC License, see the section titled “Business—Licensing Agreements” located elsewhere in this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with Our Stockholders</w:t>
      </w:r>
    </w:p>
    <w:p>
      <w:pPr>
        <w:spacing w:after="0" w:line="96"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 connection with our Series B Convertible Preferred Stock financing, we entered into an amended and restated investors’ rights, amended and restated voting and amended and restated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96" w:lineRule="exact"/>
        <w:rPr>
          <w:sz w:val="20"/>
          <w:szCs w:val="20"/>
          <w:color w:val="auto"/>
        </w:rPr>
      </w:pPr>
    </w:p>
    <w:p>
      <w:pPr>
        <w:jc w:val="both"/>
        <w:ind w:right="80" w:firstLine="449"/>
        <w:spacing w:after="0" w:line="298" w:lineRule="auto"/>
        <w:rPr>
          <w:sz w:val="20"/>
          <w:szCs w:val="20"/>
          <w:color w:val="auto"/>
        </w:rPr>
      </w:pPr>
      <w:r>
        <w:rPr>
          <w:rFonts w:ascii="Arial" w:cs="Arial" w:eastAsia="Arial" w:hAnsi="Arial"/>
          <w:sz w:val="16"/>
          <w:szCs w:val="16"/>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connection with this offering, we have adopted a written related party transactions policy that such transactions must be approved by our audit</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committee. This policy will become effective on the date on which the registration statement of which this prospectus is part is declared effective by the SEC.</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168"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September 30, 2021, as adjusted to reflect the sale of common stock offered by us in this offering, for:</w:t>
      </w:r>
    </w:p>
    <w:p>
      <w:pPr>
        <w:spacing w:after="0" w:line="51" w:lineRule="exact"/>
        <w:rPr>
          <w:sz w:val="20"/>
          <w:szCs w:val="20"/>
          <w:color w:val="auto"/>
        </w:rPr>
      </w:pPr>
    </w:p>
    <w:p>
      <w:pPr>
        <w:ind w:left="880" w:hanging="427"/>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five percent of our capital stock;</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September 30, 2021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24"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Each individual or entity shown on the table has furnished information with respect to beneficial ownership. Unless otherwise indicated, the address for each beneficial owner is c/o PepGen Inc., 245 Main St. 2nd Floor, Cambridge, Massachusetts 02142 .</w:t>
      </w:r>
    </w:p>
    <w:p>
      <w:pPr>
        <w:spacing w:after="0" w:line="132"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The percentage of beneficial ownership prior to this offering in the table below is based on shares of common stock deemed to be outstanding as of September 30, 2021, assuming the conversion of all outstanding shares of our preferred stock immediately prior to the completion of this offering, and the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percentage of beneficial ownership at this offering in the table below is based on shares of common stock assumed to be outstanding after the closing of the offering. The information in the table below assumes no exercise of the underwriters’ option to purchase additional shares.</w:t>
      </w:r>
    </w:p>
    <w:p>
      <w:pPr>
        <w:sectPr>
          <w:pgSz w:w="11900" w:h="16838" w:orient="portrait"/>
          <w:cols w:equalWidth="0" w:num="1">
            <w:col w:w="11200"/>
          </w:cols>
          <w:pgMar w:left="320" w:top="4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of Beneficial Owner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or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Entities Affiliated with RA Capital(1)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Oxford Science Enterprises plc(2)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KAVRA 16 LLC(3)</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Named Executive Officers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Christopher Ashton, Ph.D.(4)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Ramin Farzaneh-Far, M.D.(5)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Joshua Resnick, M.D., M.B.A.(6)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Heidi Henson(7)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James McArthur, Ph.D.(8)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Godfrey, Ph.D.(9)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Sonia Bracegirdle, D.Phil.(10)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Niels Svenstrup, Ph.D.(11)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All executive officers and directors as a group (8 persons)</w:t>
      </w:r>
    </w:p>
    <w:p>
      <w:pPr>
        <w:spacing w:after="0" w:line="151"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Percentage of Shares</w:t>
            </w:r>
          </w:p>
        </w:tc>
      </w:tr>
      <w:tr>
        <w:trPr>
          <w:trHeight w:val="216"/>
        </w:trPr>
        <w:tc>
          <w:tcPr>
            <w:tcW w:w="16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Number of</w:t>
            </w:r>
          </w:p>
        </w:tc>
        <w:tc>
          <w:tcPr>
            <w:tcW w:w="2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Outstanding</w:t>
            </w:r>
          </w:p>
        </w:tc>
      </w:tr>
      <w:tr>
        <w:trPr>
          <w:trHeight w:val="230"/>
        </w:trPr>
        <w:tc>
          <w:tcPr>
            <w:tcW w:w="16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3"/>
              </w:rPr>
              <w:t>Shares</w:t>
            </w: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Beneficially Owned</w:t>
            </w:r>
          </w:p>
        </w:tc>
      </w:tr>
      <w:tr>
        <w:trPr>
          <w:trHeight w:val="195"/>
        </w:trPr>
        <w:tc>
          <w:tcPr>
            <w:tcW w:w="1660" w:type="dxa"/>
            <w:vAlign w:val="bottom"/>
            <w:gridSpan w:val="2"/>
          </w:tcPr>
          <w:p>
            <w:pPr>
              <w:jc w:val="center"/>
              <w:ind w:right="800"/>
              <w:spacing w:after="0" w:line="195" w:lineRule="exact"/>
              <w:rPr>
                <w:sz w:val="20"/>
                <w:szCs w:val="20"/>
                <w:color w:val="auto"/>
              </w:rPr>
            </w:pPr>
            <w:r>
              <w:rPr>
                <w:rFonts w:ascii="Arial" w:cs="Arial" w:eastAsia="Arial" w:hAnsi="Arial"/>
                <w:sz w:val="18"/>
                <w:szCs w:val="18"/>
                <w:b w:val="1"/>
                <w:bCs w:val="1"/>
                <w:color w:val="auto"/>
                <w:w w:val="85"/>
              </w:rPr>
              <w:t>Beneficially</w:t>
            </w:r>
          </w:p>
        </w:tc>
        <w:tc>
          <w:tcPr>
            <w:tcW w:w="1520" w:type="dxa"/>
            <w:vAlign w:val="bottom"/>
            <w:gridSpan w:val="2"/>
          </w:tcPr>
          <w:p>
            <w:pPr>
              <w:jc w:val="center"/>
              <w:ind w:right="800"/>
              <w:spacing w:after="0" w:line="195" w:lineRule="exact"/>
              <w:rPr>
                <w:sz w:val="20"/>
                <w:szCs w:val="20"/>
                <w:color w:val="auto"/>
              </w:rPr>
            </w:pPr>
            <w:r>
              <w:rPr>
                <w:rFonts w:ascii="Arial" w:cs="Arial" w:eastAsia="Arial" w:hAnsi="Arial"/>
                <w:sz w:val="18"/>
                <w:szCs w:val="18"/>
                <w:b w:val="1"/>
                <w:bCs w:val="1"/>
                <w:color w:val="auto"/>
                <w:w w:val="84"/>
              </w:rPr>
              <w:t>Before</w:t>
            </w:r>
          </w:p>
        </w:tc>
        <w:tc>
          <w:tcPr>
            <w:tcW w:w="74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5"/>
              </w:rPr>
              <w:t>After</w:t>
            </w:r>
          </w:p>
        </w:tc>
      </w:tr>
      <w:tr>
        <w:trPr>
          <w:trHeight w:val="229"/>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80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Offering</w:t>
            </w:r>
          </w:p>
        </w:tc>
        <w:tc>
          <w:tcPr>
            <w:tcW w:w="80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r>
    </w:tbl>
    <w:p>
      <w:pPr>
        <w:sectPr>
          <w:pgSz w:w="11900" w:h="16838" w:orient="portrait"/>
          <w:cols w:equalWidth="0" w:num="2">
            <w:col w:w="6560" w:space="720"/>
            <w:col w:w="3920"/>
          </w:cols>
          <w:pgMar w:left="320" w:top="459" w:right="37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886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440" w:hanging="432"/>
        <w:spacing w:after="0"/>
        <w:tabs>
          <w:tab w:leader="none" w:pos="44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11" w:lineRule="exact"/>
        <w:rPr>
          <w:sz w:val="20"/>
          <w:szCs w:val="20"/>
          <w:color w:val="auto"/>
        </w:rPr>
      </w:pPr>
    </w:p>
    <w:p>
      <w:pPr>
        <w:ind w:left="440" w:hanging="432"/>
        <w:spacing w:after="0" w:line="258" w:lineRule="auto"/>
        <w:tabs>
          <w:tab w:leader="none" w:pos="44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Consists of (i) 2,172,189 shares of common stock issuable upon conversion of Series A-2 Convertible Preferred Stock, 1,508,048 shares of common stock issuable upon conversion of Series B Convertible Preferred Stock and 27,552 shares of common stock issuable upon the exercise of Series A-2 preferred warrants held by RA Capital Healthcare Fund, L.P., or RACHF, (ii) 420,168 shares of common stock issuable upon conversion of Series A-2 Convertible Preferred Stock, 646,306 shares of common stock issuable upon conversion of Series B Convertible Preferred Stock and 5,329 shares of common stock issuable upon the exercise of Series A-2 preferred warrants held by RA Capital Nexus Fund II, L.P., or Nexus II, and (iii) 208,762 shares of common stock issuable upon conversion of Series A-2 Convertible Preferred Stock and 2,648 shares of common stock issuable upon the exercise of Series A-2 preferred warrants held by Blackwell Partners LLC – Series A, or Blackwell. RA Capital Management, LP, or RACM, is the investment adviser to RACHF, Nexus II and Blackwell. RA Capital Healthcare Fund GP, LLC is the general partner of RACHF. The general partner of Nexus II is RA Capital Nexus Fund II GP, LLC. Peter Kolchinsky and Rajeev Shah are the managing members of RACM, RA Capital Healthcare Fund GP, LLC and RA Capital Nexus Fund II GP, LLC and have the power to vote or dispose of the shares held by each entity. Joshua Resnick, a member of our board of directors, serves as a Managing Director at RACM. The business address of RA Capital is 200 Berkeley Street, 18th Floor, Boston, Massachusetts 02116.</w:t>
      </w:r>
    </w:p>
    <w:p>
      <w:pPr>
        <w:spacing w:after="0" w:line="1" w:lineRule="exact"/>
        <w:rPr>
          <w:rFonts w:ascii="Arial" w:cs="Arial" w:eastAsia="Arial" w:hAnsi="Arial"/>
          <w:sz w:val="12"/>
          <w:szCs w:val="12"/>
          <w:color w:val="auto"/>
        </w:rPr>
      </w:pPr>
    </w:p>
    <w:p>
      <w:pPr>
        <w:ind w:left="440" w:hanging="432"/>
        <w:spacing w:after="0"/>
        <w:tabs>
          <w:tab w:leader="none" w:pos="44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Consists of (i) 121,000 shares of Class A common stock, (ii) 1,285,720 shares of common stock issuable upon conversion of our Series A-1 Convertible Preferred Stock, (iii) 962,884 shares of</w:t>
      </w:r>
    </w:p>
    <w:p>
      <w:pPr>
        <w:spacing w:after="0" w:line="11" w:lineRule="exact"/>
        <w:rPr>
          <w:sz w:val="20"/>
          <w:szCs w:val="20"/>
          <w:color w:val="auto"/>
        </w:rPr>
      </w:pPr>
    </w:p>
    <w:p>
      <w:pPr>
        <w:ind w:left="440" w:right="140"/>
        <w:spacing w:after="0" w:line="238" w:lineRule="auto"/>
        <w:rPr>
          <w:sz w:val="20"/>
          <w:szCs w:val="20"/>
          <w:color w:val="auto"/>
        </w:rPr>
      </w:pPr>
      <w:r>
        <w:rPr>
          <w:rFonts w:ascii="Arial" w:cs="Arial" w:eastAsia="Arial" w:hAnsi="Arial"/>
          <w:sz w:val="13"/>
          <w:szCs w:val="13"/>
          <w:color w:val="auto"/>
        </w:rPr>
        <w:t>common stock issuable upon conversion of our Series A-2 Convertible Preferred Stock and (iv) 1,575,572 shares of common stock issuable upon conversion of our Series B Convertible Preferred Stock. Christopher Ashton, a member of our board of directors, serves as an Advisor to Oxford Science Enterprises plc. The business address for each person and entity named in this footnote is 46 Woodstock Road, Oxford, OX2 6HT, United Kingdom.</w:t>
      </w:r>
    </w:p>
    <w:tbl>
      <w:tblPr>
        <w:tblLayout w:type="fixed"/>
        <w:tblInd w:w="0" w:type="dxa"/>
        <w:tblCellMar>
          <w:top w:w="0" w:type="dxa"/>
          <w:left w:w="0" w:type="dxa"/>
          <w:bottom w:w="0" w:type="dxa"/>
          <w:right w:w="0" w:type="dxa"/>
        </w:tblCellMar>
      </w:tblPr>
      <w:tr>
        <w:trPr>
          <w:trHeight w:val="137"/>
        </w:trPr>
        <w:tc>
          <w:tcPr>
            <w:tcW w:w="340" w:type="dxa"/>
            <w:vAlign w:val="bottom"/>
          </w:tcPr>
          <w:p>
            <w:pPr>
              <w:spacing w:after="0" w:line="138" w:lineRule="exact"/>
              <w:rPr>
                <w:sz w:val="20"/>
                <w:szCs w:val="20"/>
                <w:color w:val="auto"/>
              </w:rPr>
            </w:pPr>
            <w:r>
              <w:rPr>
                <w:rFonts w:ascii="Arial" w:cs="Arial" w:eastAsia="Arial" w:hAnsi="Arial"/>
                <w:sz w:val="13"/>
                <w:szCs w:val="13"/>
                <w:color w:val="auto"/>
              </w:rPr>
              <w:t>(3)</w:t>
            </w:r>
          </w:p>
        </w:tc>
        <w:tc>
          <w:tcPr>
            <w:tcW w:w="1000" w:type="dxa"/>
            <w:vAlign w:val="bottom"/>
          </w:tcPr>
          <w:p>
            <w:pPr>
              <w:ind w:left="100"/>
              <w:spacing w:after="0" w:line="138" w:lineRule="exact"/>
              <w:rPr>
                <w:sz w:val="20"/>
                <w:szCs w:val="20"/>
                <w:color w:val="auto"/>
              </w:rPr>
            </w:pPr>
            <w:r>
              <w:rPr>
                <w:rFonts w:ascii="Arial" w:cs="Arial" w:eastAsia="Arial" w:hAnsi="Arial"/>
                <w:sz w:val="13"/>
                <w:szCs w:val="13"/>
                <w:color w:val="auto"/>
              </w:rPr>
              <w:t>Consists of</w:t>
            </w:r>
          </w:p>
        </w:tc>
        <w:tc>
          <w:tcPr>
            <w:tcW w:w="226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4820" w:type="dxa"/>
            <w:vAlign w:val="bottom"/>
          </w:tcPr>
          <w:p>
            <w:pPr>
              <w:spacing w:after="0"/>
              <w:rPr>
                <w:sz w:val="11"/>
                <w:szCs w:val="11"/>
                <w:color w:val="auto"/>
              </w:rPr>
            </w:pPr>
          </w:p>
        </w:tc>
        <w:tc>
          <w:tcPr>
            <w:tcW w:w="2240" w:type="dxa"/>
            <w:vAlign w:val="bottom"/>
          </w:tcPr>
          <w:p>
            <w:pPr>
              <w:spacing w:after="0"/>
              <w:rPr>
                <w:sz w:val="11"/>
                <w:szCs w:val="11"/>
                <w:color w:val="auto"/>
              </w:rPr>
            </w:pPr>
          </w:p>
        </w:tc>
      </w:tr>
      <w:tr>
        <w:trPr>
          <w:trHeight w:val="148"/>
        </w:trPr>
        <w:tc>
          <w:tcPr>
            <w:tcW w:w="340" w:type="dxa"/>
            <w:vAlign w:val="bottom"/>
          </w:tcPr>
          <w:p>
            <w:pPr>
              <w:spacing w:after="0"/>
              <w:rPr>
                <w:sz w:val="20"/>
                <w:szCs w:val="20"/>
                <w:color w:val="auto"/>
              </w:rPr>
            </w:pPr>
            <w:r>
              <w:rPr>
                <w:rFonts w:ascii="Arial" w:cs="Arial" w:eastAsia="Arial" w:hAnsi="Arial"/>
                <w:sz w:val="13"/>
                <w:szCs w:val="13"/>
                <w:color w:val="auto"/>
              </w:rPr>
              <w:t>(4)</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r>
        <w:trPr>
          <w:trHeight w:val="148"/>
        </w:trPr>
        <w:tc>
          <w:tcPr>
            <w:tcW w:w="340" w:type="dxa"/>
            <w:vAlign w:val="bottom"/>
          </w:tcPr>
          <w:p>
            <w:pPr>
              <w:spacing w:after="0"/>
              <w:rPr>
                <w:sz w:val="20"/>
                <w:szCs w:val="20"/>
                <w:color w:val="auto"/>
              </w:rPr>
            </w:pPr>
            <w:r>
              <w:rPr>
                <w:rFonts w:ascii="Arial" w:cs="Arial" w:eastAsia="Arial" w:hAnsi="Arial"/>
                <w:sz w:val="13"/>
                <w:szCs w:val="13"/>
                <w:color w:val="auto"/>
              </w:rPr>
              <w:t>(5)</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r>
        <w:trPr>
          <w:trHeight w:val="149"/>
        </w:trPr>
        <w:tc>
          <w:tcPr>
            <w:tcW w:w="340" w:type="dxa"/>
            <w:vAlign w:val="bottom"/>
          </w:tcPr>
          <w:p>
            <w:pPr>
              <w:spacing w:after="0"/>
              <w:rPr>
                <w:sz w:val="20"/>
                <w:szCs w:val="20"/>
                <w:color w:val="auto"/>
              </w:rPr>
            </w:pPr>
            <w:r>
              <w:rPr>
                <w:rFonts w:ascii="Arial" w:cs="Arial" w:eastAsia="Arial" w:hAnsi="Arial"/>
                <w:sz w:val="13"/>
                <w:szCs w:val="13"/>
                <w:color w:val="auto"/>
              </w:rPr>
              <w:t>(6)</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r>
        <w:trPr>
          <w:trHeight w:val="148"/>
        </w:trPr>
        <w:tc>
          <w:tcPr>
            <w:tcW w:w="340" w:type="dxa"/>
            <w:vAlign w:val="bottom"/>
          </w:tcPr>
          <w:p>
            <w:pPr>
              <w:spacing w:after="0"/>
              <w:rPr>
                <w:sz w:val="20"/>
                <w:szCs w:val="20"/>
                <w:color w:val="auto"/>
              </w:rPr>
            </w:pPr>
            <w:r>
              <w:rPr>
                <w:rFonts w:ascii="Arial" w:cs="Arial" w:eastAsia="Arial" w:hAnsi="Arial"/>
                <w:sz w:val="13"/>
                <w:szCs w:val="13"/>
                <w:color w:val="auto"/>
              </w:rPr>
              <w:t>(7)</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r>
        <w:trPr>
          <w:trHeight w:val="148"/>
        </w:trPr>
        <w:tc>
          <w:tcPr>
            <w:tcW w:w="340" w:type="dxa"/>
            <w:vAlign w:val="bottom"/>
          </w:tcPr>
          <w:p>
            <w:pPr>
              <w:spacing w:after="0"/>
              <w:rPr>
                <w:sz w:val="20"/>
                <w:szCs w:val="20"/>
                <w:color w:val="auto"/>
              </w:rPr>
            </w:pPr>
            <w:r>
              <w:rPr>
                <w:rFonts w:ascii="Arial" w:cs="Arial" w:eastAsia="Arial" w:hAnsi="Arial"/>
                <w:sz w:val="13"/>
                <w:szCs w:val="13"/>
                <w:color w:val="auto"/>
              </w:rPr>
              <w:t>(8)</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r>
        <w:trPr>
          <w:trHeight w:val="148"/>
        </w:trPr>
        <w:tc>
          <w:tcPr>
            <w:tcW w:w="340" w:type="dxa"/>
            <w:vAlign w:val="bottom"/>
          </w:tcPr>
          <w:p>
            <w:pPr>
              <w:spacing w:after="0"/>
              <w:rPr>
                <w:sz w:val="20"/>
                <w:szCs w:val="20"/>
                <w:color w:val="auto"/>
              </w:rPr>
            </w:pPr>
            <w:r>
              <w:rPr>
                <w:rFonts w:ascii="Arial" w:cs="Arial" w:eastAsia="Arial" w:hAnsi="Arial"/>
                <w:sz w:val="13"/>
                <w:szCs w:val="13"/>
                <w:color w:val="auto"/>
              </w:rPr>
              <w:t>(9)</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r>
        <w:trPr>
          <w:trHeight w:val="148"/>
        </w:trPr>
        <w:tc>
          <w:tcPr>
            <w:tcW w:w="340" w:type="dxa"/>
            <w:vAlign w:val="bottom"/>
          </w:tcPr>
          <w:p>
            <w:pPr>
              <w:spacing w:after="0"/>
              <w:rPr>
                <w:sz w:val="20"/>
                <w:szCs w:val="20"/>
                <w:color w:val="auto"/>
              </w:rPr>
            </w:pPr>
            <w:r>
              <w:rPr>
                <w:rFonts w:ascii="Arial" w:cs="Arial" w:eastAsia="Arial" w:hAnsi="Arial"/>
                <w:sz w:val="13"/>
                <w:szCs w:val="13"/>
                <w:color w:val="auto"/>
              </w:rPr>
              <w:t>(10)</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r>
        <w:trPr>
          <w:trHeight w:val="172"/>
        </w:trPr>
        <w:tc>
          <w:tcPr>
            <w:tcW w:w="340" w:type="dxa"/>
            <w:vAlign w:val="bottom"/>
          </w:tcPr>
          <w:p>
            <w:pPr>
              <w:spacing w:after="0"/>
              <w:rPr>
                <w:sz w:val="20"/>
                <w:szCs w:val="20"/>
                <w:color w:val="auto"/>
              </w:rPr>
            </w:pPr>
            <w:r>
              <w:rPr>
                <w:rFonts w:ascii="Arial" w:cs="Arial" w:eastAsia="Arial" w:hAnsi="Arial"/>
                <w:sz w:val="13"/>
                <w:szCs w:val="13"/>
                <w:color w:val="auto"/>
              </w:rPr>
              <w:t>(11)</w:t>
            </w:r>
          </w:p>
        </w:tc>
        <w:tc>
          <w:tcPr>
            <w:tcW w:w="1000" w:type="dxa"/>
            <w:vAlign w:val="bottom"/>
          </w:tcPr>
          <w:p>
            <w:pPr>
              <w:ind w:left="100"/>
              <w:spacing w:after="0"/>
              <w:rPr>
                <w:sz w:val="20"/>
                <w:szCs w:val="20"/>
                <w:color w:val="auto"/>
              </w:rPr>
            </w:pPr>
            <w:r>
              <w:rPr>
                <w:rFonts w:ascii="Arial" w:cs="Arial" w:eastAsia="Arial" w:hAnsi="Arial"/>
                <w:sz w:val="13"/>
                <w:szCs w:val="13"/>
                <w:color w:val="auto"/>
              </w:rPr>
              <w:t>Consists of (i)</w:t>
            </w:r>
          </w:p>
        </w:tc>
        <w:tc>
          <w:tcPr>
            <w:tcW w:w="2260" w:type="dxa"/>
            <w:vAlign w:val="bottom"/>
          </w:tcPr>
          <w:p>
            <w:pPr>
              <w:ind w:left="300"/>
              <w:spacing w:after="0"/>
              <w:rPr>
                <w:sz w:val="20"/>
                <w:szCs w:val="20"/>
                <w:color w:val="auto"/>
              </w:rPr>
            </w:pPr>
            <w:r>
              <w:rPr>
                <w:rFonts w:ascii="Arial" w:cs="Arial" w:eastAsia="Arial" w:hAnsi="Arial"/>
                <w:sz w:val="13"/>
                <w:szCs w:val="13"/>
                <w:color w:val="auto"/>
              </w:rPr>
              <w:t>shares of common stock and (ii)</w:t>
            </w:r>
          </w:p>
        </w:tc>
        <w:tc>
          <w:tcPr>
            <w:tcW w:w="4820" w:type="dxa"/>
            <w:vAlign w:val="bottom"/>
          </w:tcPr>
          <w:p>
            <w:pPr>
              <w:ind w:left="220"/>
              <w:spacing w:after="0"/>
              <w:rPr>
                <w:sz w:val="20"/>
                <w:szCs w:val="20"/>
                <w:color w:val="auto"/>
              </w:rPr>
            </w:pPr>
            <w:r>
              <w:rPr>
                <w:rFonts w:ascii="Arial" w:cs="Arial" w:eastAsia="Arial" w:hAnsi="Arial"/>
                <w:sz w:val="13"/>
                <w:szCs w:val="13"/>
                <w:color w:val="auto"/>
                <w:w w:val="97"/>
              </w:rPr>
              <w:t>shares of common stock that the person has the right to acquire within 60 days of</w:t>
            </w:r>
          </w:p>
        </w:tc>
        <w:tc>
          <w:tcPr>
            <w:tcW w:w="2240" w:type="dxa"/>
            <w:vAlign w:val="bottom"/>
          </w:tcPr>
          <w:p>
            <w:pPr>
              <w:ind w:left="220"/>
              <w:spacing w:after="0"/>
              <w:rPr>
                <w:sz w:val="20"/>
                <w:szCs w:val="20"/>
                <w:color w:val="auto"/>
              </w:rPr>
            </w:pPr>
            <w:r>
              <w:rPr>
                <w:rFonts w:ascii="Arial" w:cs="Arial" w:eastAsia="Arial" w:hAnsi="Arial"/>
                <w:sz w:val="13"/>
                <w:szCs w:val="13"/>
                <w:color w:val="auto"/>
                <w:w w:val="92"/>
              </w:rPr>
              <w:t>through the exercise of stock options.</w:t>
            </w:r>
          </w:p>
        </w:tc>
      </w:tr>
    </w:tbl>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320" w:top="459" w:right="3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i w:val="1"/>
          <w:iCs w:val="1"/>
          <w:color w:val="auto"/>
        </w:rPr>
        <w:t>The following descriptions are summaries of the material terms of our amended and restated certificate of incorporation, which will be effective upon the closing of this offering and amended and restated bylaws, which will be effective upon the effectiveness of the registration statement of which this prospectus is a part. The descriptions of the common stock and preferred stock give effect to changes to our capital structure that will occur immediately prior to the completion of this offering. We refer in this section to our amended and restated certificate of incorporation as our certificate of incorporation, and we refer to our amended and restated bylaws as our bylaws.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240"/>
          </w:cols>
          <w:pgMar w:left="320" w:top="459" w:right="339"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040" w:hanging="374"/>
        <w:spacing w:after="0" w:line="268" w:lineRule="auto"/>
        <w:rPr>
          <w:sz w:val="20"/>
          <w:szCs w:val="20"/>
          <w:color w:val="auto"/>
        </w:rPr>
      </w:pPr>
      <w:r>
        <w:rPr>
          <w:rFonts w:ascii="Arial" w:cs="Arial" w:eastAsia="Arial" w:hAnsi="Arial"/>
          <w:sz w:val="18"/>
          <w:szCs w:val="18"/>
          <w:color w:val="auto"/>
        </w:rPr>
        <w:t>Upon completion of this offering, our authorized capital stock will consist of</w:t>
      </w:r>
      <w:r>
        <w:rPr>
          <w:sz w:val="20"/>
          <w:szCs w:val="20"/>
          <w:color w:val="auto"/>
        </w:rPr>
        <w:t xml:space="preserve"> </w:t>
      </w:r>
      <w:r>
        <w:rPr>
          <w:rFonts w:ascii="Arial" w:cs="Arial" w:eastAsia="Arial" w:hAnsi="Arial"/>
          <w:sz w:val="18"/>
          <w:szCs w:val="18"/>
          <w:color w:val="auto"/>
        </w:rPr>
        <w:t>shares of common stock, par value $0.0001 per share, shares of preferred stock, par value $0.0001 per share, all of which shares of preferred stock will be undesignated.</w:t>
      </w:r>
    </w:p>
    <w:p>
      <w:pPr>
        <w:spacing w:after="0" w:line="132" w:lineRule="exact"/>
        <w:rPr>
          <w:sz w:val="20"/>
          <w:szCs w:val="20"/>
          <w:color w:val="auto"/>
        </w:rPr>
      </w:pPr>
    </w:p>
    <w:p>
      <w:pPr>
        <w:sectPr>
          <w:pgSz w:w="11900" w:h="16838" w:orient="portrait"/>
          <w:cols w:equalWidth="0" w:num="2">
            <w:col w:w="260" w:space="580"/>
            <w:col w:w="10400"/>
          </w:cols>
          <w:pgMar w:left="320" w:top="459" w:right="339" w:bottom="1440" w:gutter="0" w:footer="0" w:header="0"/>
          <w:type w:val="continuous"/>
        </w:sectPr>
      </w:pPr>
    </w:p>
    <w:p>
      <w:pPr>
        <w:ind w:right="760" w:firstLine="449"/>
        <w:spacing w:after="0" w:line="331" w:lineRule="auto"/>
        <w:rPr>
          <w:sz w:val="20"/>
          <w:szCs w:val="20"/>
          <w:color w:val="auto"/>
        </w:rPr>
      </w:pPr>
      <w:r>
        <w:rPr>
          <w:rFonts w:ascii="Arial" w:cs="Arial" w:eastAsia="Arial" w:hAnsi="Arial"/>
          <w:sz w:val="16"/>
          <w:szCs w:val="16"/>
          <w:color w:val="auto"/>
        </w:rPr>
        <w:t>As of June 30, 2021, 4,525,526 shares of our common stock were outstanding and held by 18 stockholders of record. This amount assumes the conversion of all outstanding shares of our preferred stock into common stock, which will occur immediately prior to the closing of this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jc w:val="both"/>
        <w:ind w:right="200" w:firstLine="449"/>
        <w:spacing w:after="0" w:line="298"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12"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Immediately prior to the completion of this offering, all outstanding shares of our preferred stock will be converted into shares of our common stock.</w:t>
      </w:r>
    </w:p>
    <w:p>
      <w:pPr>
        <w:spacing w:after="0" w:line="3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Upon the consummation of 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right="340" w:firstLine="449"/>
        <w:spacing w:after="0" w:line="268" w:lineRule="auto"/>
        <w:rPr>
          <w:sz w:val="20"/>
          <w:szCs w:val="20"/>
          <w:color w:val="auto"/>
        </w:rPr>
      </w:pPr>
      <w:r>
        <w:rPr>
          <w:rFonts w:ascii="Arial" w:cs="Arial" w:eastAsia="Arial" w:hAnsi="Arial"/>
          <w:sz w:val="18"/>
          <w:szCs w:val="18"/>
          <w:color w:val="auto"/>
        </w:rPr>
        <w:t>In connection with the Series A-2 Convertible Preferred Stock financing on November 24, 2020, we also issued to entities affiliated with RA Capital warrants to purchase, in the aggregate, up to 35,529 shares of Series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9" w:right="33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A-2 Convertible Preferred Stock at a price per share equal to $11.42 and with a term ending upon the earlier of an underwritten public offering pursuant to an effective registration statement under the Securities Act, the consummation of a Deemed Liquidation Event, as such term is defined in our amended and restated certificate of incorporation or 10 years. Unless earlier exercised, these warrants will automatically be net-exercised in connection with our initial public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5"/>
          <w:szCs w:val="15"/>
          <w:color w:val="auto"/>
        </w:rPr>
        <w:t>shares of our common stock, including those issuable upon the conversion of preferred stock,</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will be entitled to rights with respect to the registration of these securities under the Securities Act. These rights are provided under the terms of our Investor Rights Agreement, dated July 30, 2021, or the Investor Rights Agreement, between us and the holders of our preferred stock. The Investor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 pro rata on the basis of the number of registrable securities registered on their behalf (other than the counsel of an individual holder, which is borne solely by the holder engaging such counsel).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Beginning 180 days after the completion of this offering, the holders of</w:t>
      </w:r>
      <w:r>
        <w:rPr>
          <w:sz w:val="20"/>
          <w:szCs w:val="20"/>
          <w:color w:val="auto"/>
        </w:rPr>
        <w:tab/>
      </w:r>
      <w:r>
        <w:rPr>
          <w:rFonts w:ascii="Arial" w:cs="Arial" w:eastAsia="Arial" w:hAnsi="Arial"/>
          <w:sz w:val="15"/>
          <w:szCs w:val="15"/>
          <w:color w:val="auto"/>
        </w:rPr>
        <w:t>shares of our common stock, including those issuable upon the</w:t>
      </w:r>
    </w:p>
    <w:p>
      <w:pPr>
        <w:spacing w:after="0" w:line="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conversion of shares of our preferred stock upon closing of this offering, will be entitled to demand registration rights. Under the terms of the Investor Rights Agreement, we will be required, upon the written request of at least 40% of holders of the registrable securities then outstanding that would result in an aggregate offering price of at least $15.0 million, to file a registration statement and to use commercially reasonable efforts to effect the registration of all or a portion of these shares for public resale.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90"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5"/>
          <w:szCs w:val="15"/>
          <w:color w:val="auto"/>
        </w:rPr>
        <w:t>shares of our common stock, including those issuable upon the conversion of shares of our</w:t>
      </w:r>
    </w:p>
    <w:p>
      <w:pPr>
        <w:spacing w:after="0" w:line="15"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preferred stock upon closing of this offering, are also entitled to short-form registration rights. Pursuant to the Investor Rights Agreement, if we are eligible to file a registration statement on Form S-3, upon the written request of the holders of at least 30% of the registrable securities then outstanding to sell registrable securities at an aggregate price of at least $5.0 million, we will be required to use commercially reasonable efforts to effect a registration of such shares. We are required to effect only two registrations in any twelve-month period pursuant to this provision of the Investor Rights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Upon the completion of this offering, the holders of</w:t>
      </w:r>
      <w:r>
        <w:rPr>
          <w:sz w:val="20"/>
          <w:szCs w:val="20"/>
          <w:color w:val="auto"/>
        </w:rPr>
        <w:tab/>
      </w:r>
      <w:r>
        <w:rPr>
          <w:rFonts w:ascii="Arial" w:cs="Arial" w:eastAsia="Arial" w:hAnsi="Arial"/>
          <w:sz w:val="15"/>
          <w:szCs w:val="15"/>
          <w:color w:val="auto"/>
        </w:rPr>
        <w:t>shares of our common stock, including those issuable upon the conversion of shares of our</w:t>
      </w:r>
    </w:p>
    <w:p>
      <w:pPr>
        <w:spacing w:after="0" w:line="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preferred stock upon closing of this offering, are entitled to piggyback registration rights. If we register any of our securities either for our own account or for the account of other security holders, the holders of these shares are entitled to include their shares in the registration. Subject to certain exceptions contained in the Investor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Investor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90"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The demand registration rights and short-form registration rights granted under the Investor Rights Agreement will terminate (1) with respect to a holder that then holds less than 1% of our outstanding shares of capital stock, such time after the completion of this offering as an SEC Rule 144 or another similar exemption under the Securities Act is available for the sale of all of such holder’s shares without limitation, during a three-month period without registration or (2) on the third anniversary of the completion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96" w:lineRule="exact"/>
        <w:rPr>
          <w:sz w:val="20"/>
          <w:szCs w:val="20"/>
          <w:color w:val="auto"/>
        </w:rPr>
      </w:pPr>
    </w:p>
    <w:p>
      <w:pPr>
        <w:ind w:right="40" w:firstLine="449"/>
        <w:spacing w:after="0" w:line="306" w:lineRule="auto"/>
        <w:rPr>
          <w:sz w:val="20"/>
          <w:szCs w:val="20"/>
          <w:color w:val="auto"/>
        </w:rPr>
      </w:pPr>
      <w:r>
        <w:rPr>
          <w:rFonts w:ascii="Arial" w:cs="Arial" w:eastAsia="Arial" w:hAnsi="Arial"/>
          <w:sz w:val="16"/>
          <w:szCs w:val="16"/>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90" w:lineRule="exact"/>
        <w:rPr>
          <w:sz w:val="20"/>
          <w:szCs w:val="20"/>
          <w:color w:val="auto"/>
        </w:rPr>
      </w:pPr>
    </w:p>
    <w:p>
      <w:pPr>
        <w:ind w:right="220" w:firstLine="449"/>
        <w:spacing w:after="0" w:line="306" w:lineRule="auto"/>
        <w:rPr>
          <w:sz w:val="20"/>
          <w:szCs w:val="20"/>
          <w:color w:val="auto"/>
        </w:rPr>
      </w:pPr>
      <w:r>
        <w:rPr>
          <w:rFonts w:ascii="Arial" w:cs="Arial" w:eastAsia="Arial" w:hAnsi="Arial"/>
          <w:sz w:val="16"/>
          <w:szCs w:val="16"/>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90"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320" w:top="459" w:right="3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90" w:lineRule="exact"/>
        <w:rPr>
          <w:sz w:val="20"/>
          <w:szCs w:val="20"/>
          <w:color w:val="auto"/>
        </w:rPr>
      </w:pPr>
    </w:p>
    <w:p>
      <w:pPr>
        <w:ind w:firstLine="449"/>
        <w:spacing w:after="0" w:line="308" w:lineRule="auto"/>
        <w:rPr>
          <w:sz w:val="20"/>
          <w:szCs w:val="20"/>
          <w:color w:val="auto"/>
        </w:rPr>
      </w:pPr>
      <w:r>
        <w:rPr>
          <w:rFonts w:ascii="Arial" w:cs="Arial" w:eastAsia="Arial" w:hAnsi="Arial"/>
          <w:sz w:val="15"/>
          <w:szCs w:val="15"/>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90" w:lineRule="exact"/>
        <w:rPr>
          <w:sz w:val="20"/>
          <w:szCs w:val="20"/>
          <w:color w:val="auto"/>
        </w:rPr>
      </w:pPr>
    </w:p>
    <w:p>
      <w:pPr>
        <w:ind w:left="460"/>
        <w:spacing w:after="0"/>
        <w:tabs>
          <w:tab w:leader="none" w:pos="6980" w:val="left"/>
        </w:tabs>
        <w:rPr>
          <w:sz w:val="20"/>
          <w:szCs w:val="20"/>
          <w:color w:val="auto"/>
        </w:rPr>
      </w:pPr>
      <w:r>
        <w:rPr>
          <w:rFonts w:ascii="Arial" w:cs="Arial" w:eastAsia="Arial" w:hAnsi="Arial"/>
          <w:sz w:val="18"/>
          <w:szCs w:val="18"/>
          <w:color w:val="auto"/>
        </w:rPr>
        <w:t>Upon the completion of this offering, our certificate of incorporation will provide for</w:t>
      </w:r>
      <w:r>
        <w:rPr>
          <w:sz w:val="20"/>
          <w:szCs w:val="20"/>
          <w:color w:val="auto"/>
        </w:rPr>
        <w:tab/>
      </w:r>
      <w:r>
        <w:rPr>
          <w:rFonts w:ascii="Arial" w:cs="Arial" w:eastAsia="Arial" w:hAnsi="Arial"/>
          <w:sz w:val="15"/>
          <w:szCs w:val="15"/>
          <w:color w:val="auto"/>
        </w:rPr>
        <w:t>authorized shares of preferred stock. The existence of</w:t>
      </w:r>
    </w:p>
    <w:p>
      <w:pPr>
        <w:spacing w:after="0" w:line="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4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96"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Our bylaws to be adopted upon the completion of this offering will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w:t>
      </w:r>
    </w:p>
    <w:p>
      <w:pPr>
        <w:spacing w:after="0" w:line="1" w:lineRule="exact"/>
        <w:rPr>
          <w:sz w:val="20"/>
          <w:szCs w:val="20"/>
          <w:color w:val="auto"/>
        </w:rPr>
      </w:pPr>
    </w:p>
    <w:p>
      <w:pPr>
        <w:ind w:right="40" w:firstLine="8"/>
        <w:spacing w:after="0" w:line="286" w:lineRule="auto"/>
        <w:tabs>
          <w:tab w:leader="none" w:pos="2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action asserting a claim arising pursuant to the Delaware General Corporation Law or our certificate of incorporation or bylaws (including the interpretation, validity or enforceability thereof) or (4) any action asserting a claim that is governed by the internal affairs doctrine; provided, however, that this provision shall not apply to any causes of action arising under the Securities Act or the Exchange Act. In addition, our amended and restated bylaws will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96"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31" w:lineRule="exact"/>
        <w:rPr>
          <w:sz w:val="20"/>
          <w:szCs w:val="20"/>
          <w:color w:val="auto"/>
        </w:rPr>
      </w:pPr>
    </w:p>
    <w:p>
      <w:pPr>
        <w:ind w:left="880" w:right="60" w:hanging="427"/>
        <w:spacing w:after="0" w:line="268"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880" w:right="100" w:hanging="427"/>
        <w:spacing w:after="0" w:line="298" w:lineRule="auto"/>
        <w:tabs>
          <w:tab w:leader="none" w:pos="8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31" w:lineRule="exact"/>
        <w:rPr>
          <w:rFonts w:ascii="Arial" w:cs="Arial" w:eastAsia="Arial" w:hAnsi="Arial"/>
          <w:sz w:val="16"/>
          <w:szCs w:val="16"/>
          <w:color w:val="auto"/>
        </w:rPr>
      </w:pPr>
    </w:p>
    <w:p>
      <w:pPr>
        <w:ind w:left="880" w:right="100" w:hanging="427"/>
        <w:spacing w:after="0" w:line="259"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a business combination to include:</w:t>
      </w:r>
    </w:p>
    <w:p>
      <w:pPr>
        <w:spacing w:after="0" w:line="90" w:lineRule="exact"/>
        <w:rPr>
          <w:sz w:val="20"/>
          <w:szCs w:val="20"/>
          <w:color w:val="auto"/>
        </w:rPr>
      </w:pPr>
    </w:p>
    <w:p>
      <w:pPr>
        <w:ind w:left="880" w:hanging="427"/>
        <w:spacing w:after="0"/>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13" w:lineRule="exact"/>
        <w:rPr>
          <w:rFonts w:ascii="Arial" w:cs="Arial" w:eastAsia="Arial" w:hAnsi="Arial"/>
          <w:sz w:val="16"/>
          <w:szCs w:val="16"/>
          <w:color w:val="auto"/>
        </w:rPr>
      </w:pPr>
    </w:p>
    <w:p>
      <w:pPr>
        <w:ind w:left="880" w:right="300" w:hanging="427"/>
        <w:spacing w:after="0" w:line="268"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50" w:lineRule="exact"/>
        <w:rPr>
          <w:rFonts w:ascii="Arial" w:cs="Arial" w:eastAsia="Arial" w:hAnsi="Arial"/>
          <w:sz w:val="18"/>
          <w:szCs w:val="18"/>
          <w:color w:val="auto"/>
        </w:rPr>
      </w:pPr>
    </w:p>
    <w:p>
      <w:pPr>
        <w:ind w:left="880" w:hanging="427"/>
        <w:spacing w:after="0" w:line="268"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50" w:lineRule="exact"/>
        <w:rPr>
          <w:rFonts w:ascii="Arial" w:cs="Arial" w:eastAsia="Arial" w:hAnsi="Arial"/>
          <w:sz w:val="18"/>
          <w:szCs w:val="18"/>
          <w:color w:val="auto"/>
        </w:rPr>
      </w:pPr>
    </w:p>
    <w:p>
      <w:pPr>
        <w:ind w:left="880" w:right="420" w:hanging="427"/>
        <w:spacing w:after="0" w:line="268"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right="20" w:firstLine="449"/>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“PEPG”.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160"/>
          </w:cols>
          <w:pgMar w:left="320" w:top="459" w:right="419" w:bottom="1440" w:gutter="0" w:footer="0" w:header="0"/>
        </w:sectPr>
      </w:pP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common stock will be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The transfer agent and registrar’s address is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and its telephone number is</w:t>
      </w:r>
    </w:p>
    <w:p>
      <w:pPr>
        <w:spacing w:after="0" w:line="50" w:lineRule="exact"/>
        <w:rPr>
          <w:sz w:val="20"/>
          <w:szCs w:val="20"/>
          <w:color w:val="auto"/>
        </w:rPr>
      </w:pPr>
    </w:p>
    <w:p>
      <w:pPr>
        <w:sectPr>
          <w:pgSz w:w="11900" w:h="16838" w:orient="portrait"/>
          <w:cols w:equalWidth="0" w:num="3">
            <w:col w:w="4780" w:space="580"/>
            <w:col w:w="3140" w:space="560"/>
            <w:col w:w="2100"/>
          </w:cols>
          <w:pgMar w:left="320" w:top="459" w:right="41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1160"/>
          </w:cols>
          <w:pgMar w:left="320" w:top="459" w:right="41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6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our shares.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47"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Based on the number of shares outstanding as of , 2021, upon the completion of this offering,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w:t>
      </w:r>
    </w:p>
    <w:p>
      <w:pPr>
        <w:spacing w:after="0" w:line="1"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Act, may only be sold in compliance with the limitations described below, and shares of our common stock are restricted shares of common stock subject to time-based vesting terms.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In general, a person who has beneficially owned restricted stock for at least six months would be entitled to sell their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20"/>
          </w:cols>
          <w:pgMar w:left="320" w:top="459" w:right="359" w:bottom="1440" w:gutter="0" w:footer="0" w:header="0"/>
        </w:sectPr>
      </w:pPr>
    </w:p>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1% of the number of shares then outstanding, which will equal approximately shares immediately after this offering assuming no exercise of the underwriters’ option to purchase additional shares, based on the number of shares outstanding as of , 2021; or</w:t>
      </w:r>
    </w:p>
    <w:p>
      <w:pPr>
        <w:spacing w:after="0" w:line="51" w:lineRule="exact"/>
        <w:rPr>
          <w:sz w:val="20"/>
          <w:szCs w:val="20"/>
          <w:color w:val="auto"/>
        </w:rPr>
      </w:pPr>
    </w:p>
    <w:p>
      <w:pPr>
        <w:sectPr>
          <w:pgSz w:w="11900" w:h="16838" w:orient="portrait"/>
          <w:cols w:equalWidth="0" w:num="2">
            <w:col w:w="520" w:space="360"/>
            <w:col w:w="10340"/>
          </w:cols>
          <w:pgMar w:left="320" w:top="459" w:right="359" w:bottom="1440" w:gutter="0" w:footer="0" w:header="0"/>
          <w:type w:val="continuous"/>
        </w:sectPr>
      </w:pPr>
    </w:p>
    <w:p>
      <w:pPr>
        <w:ind w:left="880" w:right="200" w:hanging="427"/>
        <w:spacing w:after="0" w:line="268"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32"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effectiveness of the registration statement of which this prospectus forms a part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320" w:top="459" w:right="35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selling any of our common stock or any securities convertible into or exercisable or exchangeable for common stock for a period of not less than 180 days from the date of this prospectus without the prior written consent of the representatives, subject to certain exceptions. See the section titled “Underwriting” appearing elsewhere in this prospectus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96"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statement. See the section titled “Description of Capital Stock—Registration rights” appearing elsewhere in this prospectus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96" w:lineRule="exact"/>
        <w:rPr>
          <w:sz w:val="20"/>
          <w:szCs w:val="20"/>
          <w:color w:val="auto"/>
        </w:rPr>
      </w:pPr>
    </w:p>
    <w:p>
      <w:pPr>
        <w:ind w:right="220" w:firstLine="449"/>
        <w:spacing w:after="0" w:line="298"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right="140" w:firstLine="449"/>
        <w:spacing w:after="0" w:line="369" w:lineRule="auto"/>
        <w:rPr>
          <w:sz w:val="20"/>
          <w:szCs w:val="20"/>
          <w:color w:val="auto"/>
        </w:rPr>
      </w:pPr>
      <w:r>
        <w:rPr>
          <w:rFonts w:ascii="Arial" w:cs="Arial" w:eastAsia="Arial" w:hAnsi="Arial"/>
          <w:sz w:val="15"/>
          <w:szCs w:val="15"/>
          <w:color w:val="auto"/>
        </w:rPr>
        <w:t>The 35,529 shares of Series A-2 Convertible Preferred Stock issuable under the Warrants may be available for sale in the open market once issued and converted to common stock, subject to resale restrictions under Rule 144 for certain affiliates of ours that may hold such warrants at the time of such exercise.</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459"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168"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color w:val="auto"/>
        </w:rPr>
        <w:t>The following discussion is a summary of material U.S. federal income tax considerations applicable to non-U.S. holders (as defined below) with respect to their purchase, ownership and disposition of shares of our common stock issued pursuant to this offering, but does not purport to be a complete analysis of all potential tax effects. For purposes of this discussion, a non-U.S. holder means a beneficial owner of our common stock that is, for U.S. federal income tax purposes:</w:t>
      </w:r>
    </w:p>
    <w:p>
      <w:pPr>
        <w:spacing w:after="0" w:line="62" w:lineRule="exact"/>
        <w:rPr>
          <w:sz w:val="20"/>
          <w:szCs w:val="20"/>
          <w:color w:val="auto"/>
        </w:rPr>
      </w:pPr>
    </w:p>
    <w:p>
      <w:pPr>
        <w:ind w:left="880" w:hanging="427"/>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90" w:lineRule="exact"/>
        <w:rPr>
          <w:rFonts w:ascii="Arial" w:cs="Arial" w:eastAsia="Arial" w:hAnsi="Arial"/>
          <w:sz w:val="18"/>
          <w:szCs w:val="18"/>
          <w:color w:val="auto"/>
        </w:rPr>
      </w:pPr>
    </w:p>
    <w:p>
      <w:pPr>
        <w:ind w:left="880" w:right="160" w:hanging="427"/>
        <w:spacing w:after="0" w:line="268"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any other organization taxable as a corporation for U.S. federal income tax purposes that is created or organized in or under laws other than the laws of the United States, any state thereof, or the District of Columbia;</w:t>
      </w:r>
    </w:p>
    <w:p>
      <w:pPr>
        <w:spacing w:after="0" w:line="50" w:lineRule="exact"/>
        <w:rPr>
          <w:rFonts w:ascii="Arial" w:cs="Arial" w:eastAsia="Arial" w:hAnsi="Arial"/>
          <w:sz w:val="18"/>
          <w:szCs w:val="18"/>
          <w:color w:val="auto"/>
        </w:rPr>
      </w:pPr>
    </w:p>
    <w:p>
      <w:pPr>
        <w:ind w:left="880" w:hanging="427"/>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not subject to U.S. federal income tax on a net income basis; or</w:t>
      </w:r>
    </w:p>
    <w:p>
      <w:pPr>
        <w:spacing w:after="0" w:line="90" w:lineRule="exact"/>
        <w:rPr>
          <w:rFonts w:ascii="Arial" w:cs="Arial" w:eastAsia="Arial" w:hAnsi="Arial"/>
          <w:sz w:val="18"/>
          <w:szCs w:val="18"/>
          <w:color w:val="auto"/>
        </w:rPr>
      </w:pPr>
    </w:p>
    <w:p>
      <w:pPr>
        <w:ind w:left="880" w:right="40" w:hanging="427"/>
        <w:spacing w:after="0" w:line="259"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that (1) (a) has not made an election to be treated as a U.S. person under applicable U.S. Treasury regulations and (b) either (i) is not subject to the primary supervision of a court within the United States or (ii) is not subject to the substantial control of one or more U.S. persons or (2) the income of which is not subject to U.S. federal income tax on a net income basis .</w:t>
      </w:r>
    </w:p>
    <w:p>
      <w:pPr>
        <w:spacing w:after="0" w:line="140"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This discussion does not address the tax treatment of partnerships or other entities or arrangements that are treated as pass-through entities for U.S. federal income tax purposes or persons that hold their shares of our common stock through partnerships or such other pass-through entities. The tax treatment of a partner in a partnership or other entity or arrangement that is treated as a pass-through entity for U.S. federal income tax purposes generally will depend upon the status of the partner and the activities of the partnership. A partner in a partnership or an investor in any other pass- through entity that will hold our common stock should consult his, her or its tax advisor regarding the tax consequences of acquiring, holding and disposing of our common stock through a partnership or other pass-through entity, as applicable.</w:t>
      </w:r>
    </w:p>
    <w:p>
      <w:pPr>
        <w:spacing w:after="0" w:line="12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We have not sought and will not seek any rulings from the Internal Revenue Service, or the IRS, regarding the matters discussed below and there can be no assurance that the IRS will not challenge one or more of the tax consequences described herein or that any such challenge would not be sustained by a court. We assume in this discussion that a non-U.S. holder holds shares of our common stock as a “capital asset” within the meaning of Section 1221 of the Code, which is generally property held for investment.</w:t>
      </w:r>
    </w:p>
    <w:p>
      <w:pPr>
        <w:spacing w:after="0" w:line="118"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This discussion does not address all aspects of U.S. federal income taxation that may be relevant to a particular non-U.S. holder in light of that non-U.S. holder’s individual circumstances, including the alternative minimum tax, the Medicare tax on net investment income, the special tax accounting rules under Section 451(b) of the Code, the rules relating to “qualified small business stock,” any U.S. federal tax other than the income tax (including, for example, the estate or gift tax), or any aspects of U.S. state, local or non-U.S. taxes. This discussion also does not consider any specific facts or circumstances that may apply to a non-U.S. holder and does not address the special tax rules applicable to particular non-U.S. holders, such as:</w:t>
      </w:r>
    </w:p>
    <w:p>
      <w:pPr>
        <w:spacing w:after="0" w:line="34" w:lineRule="exact"/>
        <w:rPr>
          <w:sz w:val="20"/>
          <w:szCs w:val="20"/>
          <w:color w:val="auto"/>
        </w:rPr>
      </w:pPr>
    </w:p>
    <w:p>
      <w:pPr>
        <w:ind w:left="1000" w:hanging="547"/>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90" w:lineRule="exact"/>
        <w:rPr>
          <w:rFonts w:ascii="Arial" w:cs="Arial" w:eastAsia="Arial" w:hAnsi="Arial"/>
          <w:sz w:val="18"/>
          <w:szCs w:val="18"/>
          <w:color w:val="auto"/>
        </w:rPr>
      </w:pPr>
    </w:p>
    <w:p>
      <w:pPr>
        <w:ind w:left="1000" w:right="380" w:hanging="547"/>
        <w:spacing w:after="0" w:line="268"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1000" w:hanging="547"/>
        <w:spacing w:after="0"/>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“qualified foreign pension funds” as defined in Section 897(l)(2) of the Code or entities wholly owned by a “qualified foreign pension fund”;</w:t>
      </w:r>
    </w:p>
    <w:p>
      <w:pPr>
        <w:spacing w:after="0" w:line="113" w:lineRule="exact"/>
        <w:rPr>
          <w:rFonts w:ascii="Arial" w:cs="Arial" w:eastAsia="Arial" w:hAnsi="Arial"/>
          <w:sz w:val="16"/>
          <w:szCs w:val="16"/>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13" w:lineRule="exact"/>
        <w:rPr>
          <w:rFonts w:ascii="Arial" w:cs="Arial" w:eastAsia="Arial" w:hAnsi="Arial"/>
          <w:sz w:val="16"/>
          <w:szCs w:val="16"/>
          <w:color w:val="auto"/>
        </w:rPr>
      </w:pPr>
    </w:p>
    <w:p>
      <w:pPr>
        <w:ind w:left="1000" w:hanging="547"/>
        <w:spacing w:after="0"/>
        <w:tabs>
          <w:tab w:leader="none" w:pos="10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persons that hold or receive our common stock pursuant to the exercise of any employee stock option or otherwise as compensation; and</w:t>
      </w:r>
    </w:p>
    <w:p>
      <w:pPr>
        <w:spacing w:after="0" w:line="113" w:lineRule="exact"/>
        <w:rPr>
          <w:rFonts w:ascii="Arial" w:cs="Arial" w:eastAsia="Arial" w:hAnsi="Arial"/>
          <w:sz w:val="16"/>
          <w:szCs w:val="16"/>
          <w:color w:val="auto"/>
        </w:rPr>
      </w:pPr>
    </w:p>
    <w:p>
      <w:pPr>
        <w:ind w:left="1000" w:hanging="547"/>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7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estate and non-U.S. tax consequences of the purchase, ownership and disposition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96"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As described in the “Dividend Policy” section above, we do not intend to pay any dividends in cash or property on our common stock to our stockholders in the foreseeable future. Distributions of cash or property, if any, on shares of our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return of the non-U.S. holder’s investment, up to such holder’s adjusted tax basis in the shares of common stock (not below zero). Any remaining excess will be treated as capital gain, subject to the tax treatment described below in “Gain on sale, exchange or other taxable disposition of shares of our common stock.” Any such distributions will also be subject to the discussion below under the section titled “Withholding and information reporting requirements—FATCA.”</w:t>
      </w:r>
    </w:p>
    <w:p>
      <w:pPr>
        <w:spacing w:after="0" w:line="118"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Subject to the discussion in the following two paragraphs in this section, dividends paid to a non-U.S. holder generally will be subject to U.S. federal withholding tax at a rate of 30% of the gross amount of the dividends or such lower rate specified by an applicable income tax treaty between the United States and such holder’s country of residence, if such holder is qualified for the benefits of such tax treaty. A non-U.S. holder of shares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generally obtain a refund or credit of any excess amounts withheld by timely filing an appropriate claim with the IRS.</w:t>
      </w:r>
    </w:p>
    <w:p>
      <w:pPr>
        <w:spacing w:after="0" w:line="12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delivers a properly executed IRS Form W-8ECI, stating that the dividends are so connected and satisfies applicable certification and disclosure requirements. However, such U.S. effectively connected income, net of specified deductions and credits, is taxed at the same U.S. federal</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320" w:top="459" w:right="3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specified by an applicable income tax treaty between the United States and such holder’s country of residence.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shares of our common stock</w:t>
      </w:r>
    </w:p>
    <w:p>
      <w:pPr>
        <w:spacing w:after="0" w:line="96" w:lineRule="exact"/>
        <w:rPr>
          <w:sz w:val="20"/>
          <w:szCs w:val="20"/>
          <w:color w:val="auto"/>
        </w:rPr>
      </w:pPr>
    </w:p>
    <w:p>
      <w:pPr>
        <w:ind w:right="140" w:firstLine="449"/>
        <w:spacing w:after="0" w:line="331" w:lineRule="auto"/>
        <w:rPr>
          <w:sz w:val="20"/>
          <w:szCs w:val="20"/>
          <w:color w:val="auto"/>
        </w:rPr>
      </w:pPr>
      <w:r>
        <w:rPr>
          <w:rFonts w:ascii="Arial" w:cs="Arial" w:eastAsia="Arial" w:hAnsi="Arial"/>
          <w:sz w:val="16"/>
          <w:szCs w:val="16"/>
          <w:color w:val="auto"/>
        </w:rPr>
        <w:t>Subject to the discussion below under “Withholding and information reporting requirements—FATCA,” a non-U.S. holder generally will not be subject to any U.S. federal income tax on any gain realized upon such holder’s sale, exchange or other taxable disposition of shares of our common stock unless:</w:t>
      </w:r>
    </w:p>
    <w:p>
      <w:pPr>
        <w:spacing w:after="0" w:line="6" w:lineRule="exact"/>
        <w:rPr>
          <w:sz w:val="20"/>
          <w:szCs w:val="20"/>
          <w:color w:val="auto"/>
        </w:rPr>
      </w:pPr>
    </w:p>
    <w:p>
      <w:pPr>
        <w:ind w:left="1000" w:right="100" w:hanging="547"/>
        <w:spacing w:after="0" w:line="291"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same U.S. federal income tax rates applicable to United States persons (as defined in the Code) and, if the non-U.S. holder is a foreign corporation, the branch profits tax at a 30% rate (or such lower rate as may be specified by an applicable income tax treaty between the United States and such holder’s country of residence) may also apply as described above in “Distributions on our common stock” also may apply;</w:t>
      </w:r>
    </w:p>
    <w:p>
      <w:pPr>
        <w:spacing w:after="0" w:line="38" w:lineRule="exact"/>
        <w:rPr>
          <w:rFonts w:ascii="Arial" w:cs="Arial" w:eastAsia="Arial" w:hAnsi="Arial"/>
          <w:sz w:val="16"/>
          <w:szCs w:val="16"/>
          <w:color w:val="auto"/>
        </w:rPr>
      </w:pPr>
    </w:p>
    <w:p>
      <w:pPr>
        <w:ind w:left="1000" w:right="80" w:hanging="547"/>
        <w:spacing w:after="0" w:line="254"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if any; or</w:t>
      </w:r>
    </w:p>
    <w:p>
      <w:pPr>
        <w:spacing w:after="0" w:line="62" w:lineRule="exact"/>
        <w:rPr>
          <w:rFonts w:ascii="Arial" w:cs="Arial" w:eastAsia="Arial" w:hAnsi="Arial"/>
          <w:sz w:val="18"/>
          <w:szCs w:val="18"/>
          <w:color w:val="auto"/>
        </w:rPr>
      </w:pPr>
    </w:p>
    <w:p>
      <w:pPr>
        <w:ind w:left="1000" w:right="20" w:hanging="547"/>
        <w:spacing w:after="0" w:line="286" w:lineRule="auto"/>
        <w:tabs>
          <w:tab w:leader="none" w:pos="10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within the meaning of the relevant provisions of the Code, and the non-U.S. holder holds no more than 5% of our outstanding common stock, directly or indirectly, actually or constructively,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gain derived from the disposition at the U.S. federal income tax rates applicable to United States persons (as defined in the Code). Generally, a corporation is a “U.S. real property holding corporation” only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rules described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jc w:val="both"/>
        <w:ind w:right="40" w:firstLine="449"/>
        <w:spacing w:after="0" w:line="306"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shares of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59"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respect to dividends on shares of our common stock. Generally, a non-U.S. holder will comply with such procedures if it provides a properly executed IRS Form W-8BEN, W-8BEN-E or W-8ECI (or other applicable IRS Form W-8), or otherwise meets documentary evidence requirements for establishing that it is a non-U.S. holder, or otherwise establishes an exemption. Dividends paid to non-U.S. holders subject to withholding of U.S. federal income tax, as described above in “Distributions on our common stock,” generally will be exempt from U.S. backup withholding.</w:t>
      </w:r>
    </w:p>
    <w:p>
      <w:pPr>
        <w:spacing w:after="0" w:line="112"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Information reporting and backup withholding will generally apply to the proceeds of a disposition of shares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certain U.S. connections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9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Foreign Account Tax Compliance Act, or FATCA, generally imposes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payments of gross proceeds of sales or other dispositions of shares of our common stock, although under proposed U.S. Treasury regulations (the preamble to which specifies that taxpayers, including withholding agents, are generally permitted to rely on them pending finalization), no withholding will apply to payments of gross proceeds.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shares of common stock, including, without limitation, the process and deadlines for meeting the applicable requirements to prevent the imposition of the 30% withholding tax under FATCA.</w:t>
      </w:r>
    </w:p>
    <w:p>
      <w:pPr>
        <w:spacing w:after="0" w:line="120" w:lineRule="exact"/>
        <w:rPr>
          <w:sz w:val="20"/>
          <w:szCs w:val="20"/>
          <w:color w:val="auto"/>
        </w:rPr>
      </w:pPr>
    </w:p>
    <w:p>
      <w:pPr>
        <w:ind w:right="500" w:firstLine="449"/>
        <w:spacing w:after="0" w:line="256" w:lineRule="auto"/>
        <w:rPr>
          <w:sz w:val="20"/>
          <w:szCs w:val="20"/>
          <w:color w:val="auto"/>
        </w:rPr>
      </w:pPr>
      <w:r>
        <w:rPr>
          <w:rFonts w:ascii="Arial" w:cs="Arial" w:eastAsia="Arial" w:hAnsi="Arial"/>
          <w:sz w:val="18"/>
          <w:szCs w:val="18"/>
          <w:b w:val="1"/>
          <w:bCs w:val="1"/>
          <w:color w:val="auto"/>
        </w:rPr>
        <w:t>The preceding discussion of material U.S. federal tax considerations is for prospective investors’ information only. It is not tax advice. Prospective investors should consult their own tax advisors regarding the particular U.S. federal, state, local, and non-U.S. tax consequences of purchasing, holding, and disposing of our common stock, including the consequences of any proposed changes in applicable laws, as well as tax consequences arising under any state, local, non-U.S. or U.S. federal non-income tax laws such as estate and gift tax or under any applicable tax treaty.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8" w:lineRule="exact"/>
        <w:rPr>
          <w:sz w:val="20"/>
          <w:szCs w:val="20"/>
          <w:color w:val="auto"/>
        </w:rPr>
      </w:pPr>
    </w:p>
    <w:p>
      <w:pPr>
        <w:ind w:right="140" w:firstLine="449"/>
        <w:spacing w:after="0" w:line="256" w:lineRule="auto"/>
        <w:rPr>
          <w:sz w:val="20"/>
          <w:szCs w:val="20"/>
          <w:color w:val="auto"/>
        </w:rPr>
      </w:pPr>
      <w:r>
        <w:rPr>
          <w:rFonts w:ascii="Arial" w:cs="Arial" w:eastAsia="Arial" w:hAnsi="Arial"/>
          <w:sz w:val="18"/>
          <w:szCs w:val="18"/>
          <w:color w:val="auto"/>
        </w:rPr>
        <w:t>BofA Securities, Inc., SVB Leerink LLC and Stifel, Nicolaus &amp; Company, Incorporated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Underwriter</w:t>
            </w:r>
          </w:p>
        </w:tc>
        <w:tc>
          <w:tcPr>
            <w:tcW w:w="88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Number of Shares</w:t>
            </w:r>
          </w:p>
        </w:tc>
      </w:tr>
      <w:tr>
        <w:trPr>
          <w:trHeight w:val="203"/>
        </w:trPr>
        <w:tc>
          <w:tcPr>
            <w:tcW w:w="9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BofA Securities, Inc.</w:t>
            </w:r>
          </w:p>
        </w:tc>
        <w:tc>
          <w:tcPr>
            <w:tcW w:w="1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76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76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7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49"/>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06" w:lineRule="exact"/>
        <w:rPr>
          <w:sz w:val="20"/>
          <w:szCs w:val="20"/>
          <w:color w:val="auto"/>
        </w:rPr>
      </w:pPr>
    </w:p>
    <w:p>
      <w:pPr>
        <w:ind w:right="260" w:firstLine="449"/>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32"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340" w:firstLine="449"/>
        <w:spacing w:after="0" w:line="259"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40" w:lineRule="exact"/>
        <w:rPr>
          <w:sz w:val="20"/>
          <w:szCs w:val="20"/>
          <w:color w:val="auto"/>
        </w:rPr>
      </w:pPr>
    </w:p>
    <w:p>
      <w:pPr>
        <w:ind w:right="500" w:firstLine="449"/>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40" w:type="dxa"/>
            <w:vAlign w:val="bottom"/>
          </w:tcPr>
          <w:p>
            <w:pPr>
              <w:jc w:val="right"/>
              <w:ind w:right="16"/>
              <w:spacing w:after="0"/>
              <w:rPr>
                <w:sz w:val="20"/>
                <w:szCs w:val="20"/>
                <w:color w:val="auto"/>
              </w:rPr>
            </w:pPr>
            <w:r>
              <w:rPr>
                <w:rFonts w:ascii="Arial" w:cs="Arial" w:eastAsia="Arial" w:hAnsi="Arial"/>
                <w:sz w:val="18"/>
                <w:szCs w:val="18"/>
                <w:b w:val="1"/>
                <w:bCs w:val="1"/>
                <w:color w:val="auto"/>
              </w:rPr>
              <w:t>Per</w:t>
            </w:r>
          </w:p>
        </w:tc>
        <w:tc>
          <w:tcPr>
            <w:tcW w:w="18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Without</w:t>
            </w:r>
          </w:p>
        </w:tc>
        <w:tc>
          <w:tcPr>
            <w:tcW w:w="600" w:type="dxa"/>
            <w:vAlign w:val="bottom"/>
            <w:gridSpan w:val="2"/>
          </w:tcPr>
          <w:p>
            <w:pPr>
              <w:ind w:left="80"/>
              <w:spacing w:after="0"/>
              <w:rPr>
                <w:sz w:val="20"/>
                <w:szCs w:val="20"/>
                <w:color w:val="auto"/>
              </w:rPr>
            </w:pPr>
            <w:r>
              <w:rPr>
                <w:rFonts w:ascii="Arial" w:cs="Arial" w:eastAsia="Arial" w:hAnsi="Arial"/>
                <w:sz w:val="18"/>
                <w:szCs w:val="18"/>
                <w:b w:val="1"/>
                <w:bCs w:val="1"/>
                <w:color w:val="auto"/>
              </w:rPr>
              <w:t>With</w:t>
            </w:r>
          </w:p>
        </w:tc>
      </w:tr>
      <w:tr>
        <w:trPr>
          <w:trHeight w:val="229"/>
        </w:trPr>
        <w:tc>
          <w:tcPr>
            <w:tcW w:w="53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3"/>
              </w:rPr>
              <w:t>Share</w:t>
            </w:r>
          </w:p>
        </w:tc>
        <w:tc>
          <w:tcPr>
            <w:tcW w:w="640" w:type="dxa"/>
            <w:vAlign w:val="bottom"/>
          </w:tcPr>
          <w:p>
            <w:pPr>
              <w:spacing w:after="0"/>
              <w:rPr>
                <w:sz w:val="19"/>
                <w:szCs w:val="19"/>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Option</w:t>
            </w: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Option</w:t>
            </w:r>
          </w:p>
        </w:tc>
      </w:tr>
      <w:tr>
        <w:trPr>
          <w:trHeight w:val="210"/>
        </w:trPr>
        <w:tc>
          <w:tcPr>
            <w:tcW w:w="53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Public offering price</w:t>
            </w:r>
          </w:p>
        </w:tc>
        <w:tc>
          <w:tcPr>
            <w:tcW w:w="3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Underwriting discount</w:t>
            </w:r>
          </w:p>
        </w:tc>
        <w:tc>
          <w:tcPr>
            <w:tcW w:w="3460" w:type="dxa"/>
            <w:vAlign w:val="bottom"/>
            <w:gridSpan w:val="2"/>
          </w:tcPr>
          <w:p>
            <w:pPr>
              <w:jc w:val="right"/>
              <w:ind w:right="276"/>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58"/>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46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expenses of the offering, not including the underwriting discount, are estimated at $ and are payable by us. We have also agreed to reimburse the</w:t>
      </w:r>
    </w:p>
    <w:p>
      <w:pPr>
        <w:spacing w:after="0" w:line="38"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underwriters for certain of their expenses in an amount up to $</w:t>
      </w:r>
      <w:r>
        <w:rPr>
          <w:sz w:val="20"/>
          <w:szCs w:val="20"/>
          <w:color w:val="auto"/>
        </w:rPr>
        <w:tab/>
      </w:r>
      <w:r>
        <w:rPr>
          <w:rFonts w:ascii="Arial" w:cs="Arial" w:eastAsia="Arial" w:hAnsi="Arial"/>
          <w:sz w:val="14"/>
          <w:szCs w:val="14"/>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49"/>
        <w:spacing w:after="0" w:line="256"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SVB Leerink LLC and Stifel, Nicolaus &amp; Company, Incorporated. Specifically, we and these other persons have agreed, with certain limited exceptions, not to directly or indirectly</w:t>
      </w:r>
    </w:p>
    <w:p>
      <w:pPr>
        <w:spacing w:after="0" w:line="62" w:lineRule="exact"/>
        <w:rPr>
          <w:sz w:val="20"/>
          <w:szCs w:val="20"/>
          <w:color w:val="auto"/>
        </w:rPr>
      </w:pPr>
    </w:p>
    <w:p>
      <w:pPr>
        <w:ind w:left="880" w:hanging="427"/>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stock, or</w:t>
      </w:r>
    </w:p>
    <w:p>
      <w:pPr>
        <w:spacing w:after="0" w:line="90" w:lineRule="exact"/>
        <w:rPr>
          <w:rFonts w:ascii="Arial" w:cs="Arial" w:eastAsia="Arial" w:hAnsi="Arial"/>
          <w:sz w:val="18"/>
          <w:szCs w:val="18"/>
          <w:color w:val="auto"/>
        </w:rPr>
      </w:pPr>
    </w:p>
    <w:p>
      <w:pPr>
        <w:ind w:left="880" w:right="120" w:hanging="427"/>
        <w:spacing w:after="0" w:line="331" w:lineRule="auto"/>
        <w:tabs>
          <w:tab w:leader="none" w:pos="8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5" w:lineRule="exact"/>
        <w:rPr>
          <w:rFonts w:ascii="Arial" w:cs="Arial" w:eastAsia="Arial" w:hAnsi="Arial"/>
          <w:sz w:val="16"/>
          <w:szCs w:val="16"/>
          <w:color w:val="auto"/>
        </w:rPr>
      </w:pPr>
    </w:p>
    <w:p>
      <w:pPr>
        <w:ind w:left="880" w:hanging="427"/>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17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shares to be approved for listing on the Nasdaq Global Market, subject to notice of issuance, under the symbol “PEPG.”</w:t>
      </w:r>
    </w:p>
    <w:p>
      <w:pPr>
        <w:spacing w:after="0" w:line="171" w:lineRule="exact"/>
        <w:rPr>
          <w:sz w:val="20"/>
          <w:szCs w:val="20"/>
          <w:color w:val="auto"/>
        </w:rPr>
      </w:pPr>
    </w:p>
    <w:p>
      <w:pPr>
        <w:ind w:right="100" w:firstLine="449"/>
        <w:spacing w:after="0" w:line="331"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6" w:lineRule="exact"/>
        <w:rPr>
          <w:sz w:val="20"/>
          <w:szCs w:val="20"/>
          <w:color w:val="auto"/>
        </w:rPr>
      </w:pPr>
    </w:p>
    <w:p>
      <w:pPr>
        <w:ind w:left="880" w:hanging="427"/>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80"/>
          </w:cols>
          <w:pgMar w:left="320" w:top="459" w:right="3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880" w:hanging="427"/>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194" w:lineRule="exact"/>
        <w:rPr>
          <w:sz w:val="20"/>
          <w:szCs w:val="20"/>
          <w:color w:val="auto"/>
        </w:rPr>
      </w:pPr>
    </w:p>
    <w:p>
      <w:pPr>
        <w:ind w:right="440" w:firstLine="449"/>
        <w:spacing w:after="0" w:line="268"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40"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26" w:lineRule="exact"/>
        <w:rPr>
          <w:sz w:val="20"/>
          <w:szCs w:val="20"/>
          <w:color w:val="auto"/>
        </w:rPr>
      </w:pPr>
    </w:p>
    <w:p>
      <w:pPr>
        <w:jc w:val="both"/>
        <w:ind w:right="420" w:firstLine="449"/>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43" w:lineRule="exact"/>
        <w:rPr>
          <w:sz w:val="20"/>
          <w:szCs w:val="20"/>
          <w:color w:val="auto"/>
        </w:rPr>
      </w:pPr>
    </w:p>
    <w:p>
      <w:pPr>
        <w:ind w:right="680" w:firstLine="449"/>
        <w:spacing w:after="0" w:line="335"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20"/>
          </w:cols>
          <w:pgMar w:left="320" w:top="459" w:right="3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49"/>
        <w:spacing w:after="0" w:line="369"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64"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 relation to each Member State of the European Economic Area, or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6" w:lineRule="exact"/>
        <w:rPr>
          <w:sz w:val="20"/>
          <w:szCs w:val="20"/>
          <w:color w:val="auto"/>
        </w:rPr>
      </w:pPr>
    </w:p>
    <w:p>
      <w:pPr>
        <w:ind w:left="1000" w:hanging="547"/>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90" w:lineRule="exact"/>
        <w:rPr>
          <w:rFonts w:ascii="Arial" w:cs="Arial" w:eastAsia="Arial" w:hAnsi="Arial"/>
          <w:sz w:val="18"/>
          <w:szCs w:val="18"/>
          <w:color w:val="auto"/>
        </w:rPr>
      </w:pPr>
    </w:p>
    <w:p>
      <w:pPr>
        <w:ind w:left="1000" w:right="200" w:hanging="547"/>
        <w:spacing w:after="0" w:line="268"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1000" w:hanging="547"/>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Article 3 of the Prospectus Regulation or supplement a prospectus pursuant to Article 23 of the Prospectus Regulation.</w:t>
      </w:r>
    </w:p>
    <w:p>
      <w:pPr>
        <w:spacing w:after="0" w:line="132" w:lineRule="exact"/>
        <w:rPr>
          <w:sz w:val="20"/>
          <w:szCs w:val="20"/>
          <w:color w:val="auto"/>
        </w:rPr>
      </w:pPr>
    </w:p>
    <w:p>
      <w:pPr>
        <w:ind w:right="60" w:firstLine="449"/>
        <w:spacing w:after="0" w:line="331" w:lineRule="auto"/>
        <w:rPr>
          <w:sz w:val="20"/>
          <w:szCs w:val="20"/>
          <w:color w:val="auto"/>
        </w:rPr>
      </w:pPr>
      <w:r>
        <w:rPr>
          <w:rFonts w:ascii="Arial" w:cs="Arial" w:eastAsia="Arial" w:hAnsi="Arial"/>
          <w:sz w:val="16"/>
          <w:szCs w:val="16"/>
          <w:color w:val="auto"/>
        </w:rPr>
        <w:t>Each person in a Relevant State who initially acquires any Shares or to whom any offer is made will be deemed to have represented, acknowledged and agreed to and with the Company and the Managers that it is a qualified investor within the meaning of the Prospectus Regulation.</w:t>
      </w:r>
    </w:p>
    <w:p>
      <w:pPr>
        <w:spacing w:after="0" w:line="8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47" w:lineRule="exact"/>
        <w:rPr>
          <w:sz w:val="20"/>
          <w:szCs w:val="20"/>
          <w:color w:val="auto"/>
        </w:rPr>
      </w:pPr>
    </w:p>
    <w:p>
      <w:pPr>
        <w:ind w:right="520" w:firstLine="449"/>
        <w:spacing w:after="0" w:line="268"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 The above selling restriction is in addition to any other selling restrictions set out below.</w:t>
      </w:r>
    </w:p>
    <w:p>
      <w:pPr>
        <w:spacing w:after="0" w:line="132" w:lineRule="exact"/>
        <w:rPr>
          <w:sz w:val="20"/>
          <w:szCs w:val="20"/>
          <w:color w:val="auto"/>
        </w:rPr>
      </w:pPr>
    </w:p>
    <w:p>
      <w:pPr>
        <w:ind w:right="360" w:firstLine="449"/>
        <w:spacing w:after="0" w:line="268"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60"/>
          </w:cols>
          <w:pgMar w:left="320" w:top="459"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color w:val="auto"/>
        </w:rPr>
        <w:t>In relation to the United Kingdom, or UK, no Shares have been offered or will be offered pursuant to this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62" w:lineRule="exact"/>
        <w:rPr>
          <w:sz w:val="20"/>
          <w:szCs w:val="20"/>
          <w:color w:val="auto"/>
        </w:rPr>
      </w:pPr>
    </w:p>
    <w:p>
      <w:pPr>
        <w:ind w:left="1000" w:hanging="547"/>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90" w:lineRule="exact"/>
        <w:rPr>
          <w:rFonts w:ascii="Arial" w:cs="Arial" w:eastAsia="Arial" w:hAnsi="Arial"/>
          <w:sz w:val="18"/>
          <w:szCs w:val="18"/>
          <w:color w:val="auto"/>
        </w:rPr>
      </w:pPr>
    </w:p>
    <w:p>
      <w:pPr>
        <w:ind w:left="1000" w:right="240" w:hanging="547"/>
        <w:spacing w:after="0" w:line="268"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1000" w:hanging="547"/>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provided that no such offer of Shares shall require the Issuer or any Manager to publish a prospectus pursuant to Section 85 of the FSMA or Article 3 of the UK Prospectus Regulation or supplement a prospectus pursuant to Article 23 of the UK Prospectus Regulation.</w:t>
      </w:r>
    </w:p>
    <w:p>
      <w:pPr>
        <w:spacing w:after="0" w:line="132" w:lineRule="exact"/>
        <w:rPr>
          <w:sz w:val="20"/>
          <w:szCs w:val="20"/>
          <w:color w:val="auto"/>
        </w:rPr>
      </w:pPr>
    </w:p>
    <w:p>
      <w:pPr>
        <w:ind w:right="60" w:firstLine="449"/>
        <w:spacing w:after="0" w:line="331"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Managers that it is a qualified investor within the meaning of the UK Prospectus Regulation.</w:t>
      </w:r>
    </w:p>
    <w:p>
      <w:pPr>
        <w:spacing w:after="0" w:line="87"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47" w:lineRule="exact"/>
        <w:rPr>
          <w:sz w:val="20"/>
          <w:szCs w:val="20"/>
          <w:color w:val="auto"/>
        </w:rPr>
      </w:pPr>
    </w:p>
    <w:p>
      <w:pPr>
        <w:ind w:right="580" w:firstLine="449"/>
        <w:spacing w:after="0" w:line="268"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32"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12" w:lineRule="exact"/>
        <w:rPr>
          <w:sz w:val="20"/>
          <w:szCs w:val="20"/>
          <w:color w:val="auto"/>
        </w:rPr>
      </w:pPr>
    </w:p>
    <w:p>
      <w:pPr>
        <w:ind w:right="420" w:firstLine="449"/>
        <w:spacing w:after="0" w:line="268"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3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459" w:right="3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96"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5"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 or CISA. The investor protection afforded to acquirers of interests in collective investment schemes under the CISA does not extend to acquirers of shares.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96"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of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96"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43"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3"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2" w:lineRule="exact"/>
        <w:rPr>
          <w:sz w:val="20"/>
          <w:szCs w:val="20"/>
          <w:color w:val="auto"/>
        </w:rPr>
      </w:pPr>
    </w:p>
    <w:p>
      <w:pPr>
        <w:ind w:right="200" w:firstLine="449"/>
        <w:spacing w:after="0" w:line="268"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9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96"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96" w:lineRule="exact"/>
        <w:rPr>
          <w:sz w:val="20"/>
          <w:szCs w:val="20"/>
          <w:color w:val="auto"/>
        </w:rPr>
      </w:pPr>
    </w:p>
    <w:p>
      <w:pPr>
        <w:ind w:right="100" w:firstLine="449"/>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w:t>
      </w:r>
    </w:p>
    <w:p>
      <w:pPr>
        <w:spacing w:after="0" w:line="3" w:lineRule="exact"/>
        <w:rPr>
          <w:sz w:val="20"/>
          <w:szCs w:val="20"/>
          <w:color w:val="auto"/>
        </w:rPr>
      </w:pPr>
    </w:p>
    <w:p>
      <w:pPr>
        <w:ind w:right="20" w:firstLine="8"/>
        <w:spacing w:after="0" w:line="253" w:lineRule="auto"/>
        <w:tabs>
          <w:tab w:leader="none" w:pos="21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90" w:lineRule="exact"/>
        <w:rPr>
          <w:sz w:val="20"/>
          <w:szCs w:val="20"/>
          <w:color w:val="auto"/>
        </w:rPr>
      </w:pPr>
    </w:p>
    <w:p>
      <w:pPr>
        <w:ind w:left="1000" w:right="240" w:hanging="547"/>
        <w:spacing w:after="0" w:line="331" w:lineRule="auto"/>
        <w:tabs>
          <w:tab w:leader="none" w:pos="10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 w:lineRule="exact"/>
        <w:rPr>
          <w:rFonts w:ascii="Arial" w:cs="Arial" w:eastAsia="Arial" w:hAnsi="Arial"/>
          <w:sz w:val="16"/>
          <w:szCs w:val="16"/>
          <w:color w:val="auto"/>
        </w:rPr>
      </w:pPr>
    </w:p>
    <w:p>
      <w:pPr>
        <w:ind w:left="1000" w:hanging="547"/>
        <w:spacing w:after="0" w:line="268"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59" w:lineRule="exact"/>
        <w:rPr>
          <w:sz w:val="20"/>
          <w:szCs w:val="20"/>
          <w:color w:val="auto"/>
        </w:rPr>
      </w:pPr>
    </w:p>
    <w:p>
      <w:pPr>
        <w:ind w:left="1000" w:right="20" w:hanging="547"/>
        <w:spacing w:after="0" w:line="268"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50" w:lineRule="exact"/>
        <w:rPr>
          <w:rFonts w:ascii="Arial" w:cs="Arial" w:eastAsia="Arial" w:hAnsi="Arial"/>
          <w:sz w:val="18"/>
          <w:szCs w:val="18"/>
          <w:color w:val="auto"/>
        </w:rPr>
      </w:pPr>
    </w:p>
    <w:p>
      <w:pPr>
        <w:ind w:left="1000" w:hanging="547"/>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90" w:lineRule="exact"/>
        <w:rPr>
          <w:rFonts w:ascii="Arial" w:cs="Arial" w:eastAsia="Arial" w:hAnsi="Arial"/>
          <w:sz w:val="18"/>
          <w:szCs w:val="18"/>
          <w:color w:val="auto"/>
        </w:rPr>
      </w:pPr>
    </w:p>
    <w:p>
      <w:pPr>
        <w:ind w:left="1000" w:hanging="547"/>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96"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12"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jc w:val="both"/>
        <w:ind w:right="160" w:firstLine="449"/>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96"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This document does not constitute a prospectus under the Israel Securities Law, 5728-1968, and has not been filed with or approved by the Israel Securities Authority nor have the securities offered under this document been approved or disapproved by the Israel Securities Authority or registered for sale in Israel. Our common stock will not be offered or sold to the public in Israel, except that the underwriters may offer and sell such shares, and distribute this prospectus to investors listed in the first addendum (the Addendum) to the Israel Securities Law, consisting primarily of joint investment in trust funds, provident funds, insurance companies, banks, portfolio managers, investment advisors, members of the TASE,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are required to complete and sign a questionnaire to confirm that they fall within the scope of the Addendum. Any resale in Israel, directly or indirectly, to the public of the securities offered by this prospectus is subject to restrictions on transferability and must be effected only in compliance with the Israel Securities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320" w:top="459" w:right="3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Goodwin Procter LLP, Boston, Massachusetts.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related to this offering will be passed upon for the underwriters by Latham &amp; Watkins LLP, New York,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consolidated financial statements of PepGen Inc. as of December 31, 2019 and 2020, and for each of the years in the two-year period ended December 31, 2020, have been included herein in reliance upon the report of KPMG LLP, independent registered public accounting firm, appearing elsewhere herein, and upon the authority of said firm as experts in accounting and auditing.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8"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We have filed with the SEC a registration statement on Form S-1 (File Number 333- )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15"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Upon the completion of this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https://pepgen.com/. Upon completion of this offering, you may access, free of charge, our annual reports on Form 10-K, quarterly reports on Form 10-Q, current reports on Form 8-K and any amendment to those reports filed or furnished pursuant to Section 13(a) or 15(d) of the Exchange Act as soon as reasonably practicable after such material is electronically filed with, or furnished to, the SEC.</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459" w:right="3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2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w w:val="96"/>
              </w:rPr>
              <w:t>INDEX TO FINANCIAL STATEMENTS</w:t>
            </w:r>
          </w:p>
        </w:tc>
        <w:tc>
          <w:tcPr>
            <w:tcW w:w="720" w:type="dxa"/>
            <w:vAlign w:val="bottom"/>
          </w:tcPr>
          <w:p>
            <w:pPr>
              <w:spacing w:after="0"/>
              <w:rPr>
                <w:sz w:val="20"/>
                <w:szCs w:val="20"/>
                <w:color w:val="auto"/>
              </w:rPr>
            </w:pPr>
          </w:p>
        </w:tc>
      </w:tr>
      <w:tr>
        <w:trPr>
          <w:trHeight w:val="405"/>
        </w:trPr>
        <w:tc>
          <w:tcPr>
            <w:tcW w:w="10460" w:type="dxa"/>
            <w:vAlign w:val="bottom"/>
            <w:gridSpan w:val="14"/>
          </w:tcPr>
          <w:p>
            <w:pPr>
              <w:spacing w:after="0"/>
              <w:rPr>
                <w:sz w:val="20"/>
                <w:szCs w:val="20"/>
                <w:color w:val="auto"/>
              </w:rPr>
            </w:pPr>
            <w:r>
              <w:rPr>
                <w:rFonts w:ascii="Arial" w:cs="Arial" w:eastAsia="Arial" w:hAnsi="Arial"/>
                <w:sz w:val="18"/>
                <w:szCs w:val="18"/>
                <w:color w:val="auto"/>
              </w:rPr>
              <w:t>Audited Financial Statements:</w:t>
            </w:r>
          </w:p>
        </w:tc>
        <w:tc>
          <w:tcPr>
            <w:tcW w:w="720" w:type="dxa"/>
            <w:vAlign w:val="bottom"/>
          </w:tcPr>
          <w:p>
            <w:pPr>
              <w:spacing w:after="0"/>
              <w:rPr>
                <w:sz w:val="24"/>
                <w:szCs w:val="24"/>
                <w:color w:val="auto"/>
              </w:rPr>
            </w:pPr>
          </w:p>
        </w:tc>
      </w:tr>
      <w:tr>
        <w:trPr>
          <w:trHeight w:val="232"/>
        </w:trPr>
        <w:tc>
          <w:tcPr>
            <w:tcW w:w="10460" w:type="dxa"/>
            <w:vAlign w:val="bottom"/>
            <w:gridSpan w:val="14"/>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Report of Independent Registered Public Accounting Firm</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88"/>
        </w:trPr>
        <w:tc>
          <w:tcPr>
            <w:tcW w:w="10460" w:type="dxa"/>
            <w:vAlign w:val="bottom"/>
            <w:gridSpan w:val="14"/>
          </w:tcPr>
          <w:p>
            <w:pPr>
              <w:spacing w:after="0"/>
              <w:rPr>
                <w:sz w:val="20"/>
                <w:szCs w:val="20"/>
                <w:color w:val="auto"/>
              </w:rPr>
            </w:pPr>
            <w:r>
              <w:rPr>
                <w:rFonts w:ascii="Arial" w:cs="Arial" w:eastAsia="Arial" w:hAnsi="Arial"/>
                <w:sz w:val="18"/>
                <w:szCs w:val="18"/>
                <w:color w:val="auto"/>
              </w:rPr>
              <w:t>Consolidated Financial Statements as of and for the Year Ended December 31, 2019 and 2020:</w:t>
            </w:r>
          </w:p>
        </w:tc>
        <w:tc>
          <w:tcPr>
            <w:tcW w:w="720" w:type="dxa"/>
            <w:vAlign w:val="bottom"/>
          </w:tcPr>
          <w:p>
            <w:pPr>
              <w:spacing w:after="0"/>
              <w:rPr>
                <w:sz w:val="24"/>
                <w:szCs w:val="24"/>
                <w:color w:val="auto"/>
              </w:rPr>
            </w:pPr>
          </w:p>
        </w:tc>
      </w:tr>
      <w:tr>
        <w:trPr>
          <w:trHeight w:val="232"/>
        </w:trPr>
        <w:tc>
          <w:tcPr>
            <w:tcW w:w="10460" w:type="dxa"/>
            <w:vAlign w:val="bottom"/>
            <w:gridSpan w:val="14"/>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Consolidated Balance Sheets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12">
              <w:r>
                <w:rPr>
                  <w:rFonts w:ascii="Arial" w:cs="Arial" w:eastAsia="Arial" w:hAnsi="Arial"/>
                  <w:sz w:val="18"/>
                  <w:szCs w:val="18"/>
                  <w:color w:val="0000EE"/>
                  <w:w w:val="87"/>
                </w:rPr>
                <w:t>Consolidated Statements of Operations</w:t>
              </w:r>
            </w:hyperlink>
          </w:p>
        </w:tc>
        <w:tc>
          <w:tcPr>
            <w:tcW w:w="7700" w:type="dxa"/>
            <w:vAlign w:val="bottom"/>
            <w:gridSpan w:val="12"/>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50"/>
        </w:trPr>
        <w:tc>
          <w:tcPr>
            <w:tcW w:w="34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13">
              <w:r>
                <w:rPr>
                  <w:rFonts w:ascii="Arial" w:cs="Arial" w:eastAsia="Arial" w:hAnsi="Arial"/>
                  <w:sz w:val="18"/>
                  <w:szCs w:val="18"/>
                  <w:color w:val="0000EE"/>
                  <w:w w:val="87"/>
                </w:rPr>
                <w:t>Consolidated Statements of Comprehensive Loss</w:t>
              </w:r>
            </w:hyperlink>
          </w:p>
        </w:tc>
        <w:tc>
          <w:tcPr>
            <w:tcW w:w="7000" w:type="dxa"/>
            <w:vAlign w:val="bottom"/>
            <w:gridSpan w:val="8"/>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10460" w:type="dxa"/>
            <w:vAlign w:val="bottom"/>
            <w:gridSpan w:val="14"/>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Consolidated Statements of Convertible Preferred Stock and Stockholders’ Equity (Deficit)</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0"/>
        </w:trPr>
        <w:tc>
          <w:tcPr>
            <w:tcW w:w="6420" w:type="dxa"/>
            <w:vAlign w:val="bottom"/>
            <w:tcBorders>
              <w:top w:val="single" w:sz="8" w:color="0000EE"/>
            </w:tcBorders>
            <w:gridSpan w:val="12"/>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Consolidated Statements of Cash Flows</w:t>
              </w:r>
            </w:hyperlink>
          </w:p>
        </w:tc>
        <w:tc>
          <w:tcPr>
            <w:tcW w:w="4040" w:type="dxa"/>
            <w:vAlign w:val="bottom"/>
            <w:gridSpan w:val="2"/>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30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16">
              <w:r>
                <w:rPr>
                  <w:rFonts w:ascii="Arial" w:cs="Arial" w:eastAsia="Arial" w:hAnsi="Arial"/>
                  <w:sz w:val="18"/>
                  <w:szCs w:val="18"/>
                  <w:color w:val="0000EE"/>
                  <w:w w:val="87"/>
                </w:rPr>
                <w:t>Notes to Consolidated Financial Statements</w:t>
              </w:r>
            </w:hyperlink>
          </w:p>
        </w:tc>
        <w:tc>
          <w:tcPr>
            <w:tcW w:w="7380" w:type="dxa"/>
            <w:vAlign w:val="bottom"/>
            <w:gridSpan w:val="9"/>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450"/>
        </w:trPr>
        <w:tc>
          <w:tcPr>
            <w:tcW w:w="10460" w:type="dxa"/>
            <w:vAlign w:val="bottom"/>
            <w:gridSpan w:val="14"/>
          </w:tcPr>
          <w:p>
            <w:pPr>
              <w:spacing w:after="0"/>
              <w:rPr>
                <w:sz w:val="20"/>
                <w:szCs w:val="20"/>
                <w:color w:val="auto"/>
              </w:rPr>
            </w:pPr>
            <w:r>
              <w:rPr>
                <w:rFonts w:ascii="Arial" w:cs="Arial" w:eastAsia="Arial" w:hAnsi="Arial"/>
                <w:sz w:val="18"/>
                <w:szCs w:val="18"/>
                <w:color w:val="auto"/>
              </w:rPr>
              <w:t>Unaudited Interim Condensed Consolidated Financial Statements:</w:t>
            </w:r>
          </w:p>
        </w:tc>
        <w:tc>
          <w:tcPr>
            <w:tcW w:w="720" w:type="dxa"/>
            <w:vAlign w:val="bottom"/>
          </w:tcPr>
          <w:p>
            <w:pPr>
              <w:spacing w:after="0"/>
              <w:rPr>
                <w:sz w:val="24"/>
                <w:szCs w:val="24"/>
                <w:color w:val="auto"/>
              </w:rPr>
            </w:pPr>
          </w:p>
        </w:tc>
      </w:tr>
      <w:tr>
        <w:trPr>
          <w:trHeight w:val="270"/>
        </w:trPr>
        <w:tc>
          <w:tcPr>
            <w:tcW w:w="10460" w:type="dxa"/>
            <w:vAlign w:val="bottom"/>
            <w:gridSpan w:val="14"/>
          </w:tcPr>
          <w:p>
            <w:pPr>
              <w:spacing w:after="0"/>
              <w:rPr>
                <w:sz w:val="20"/>
                <w:szCs w:val="20"/>
                <w:color w:val="auto"/>
              </w:rPr>
            </w:pPr>
            <w:r>
              <w:rPr>
                <w:rFonts w:ascii="Arial" w:cs="Arial" w:eastAsia="Arial" w:hAnsi="Arial"/>
                <w:sz w:val="18"/>
                <w:szCs w:val="18"/>
                <w:color w:val="auto"/>
                <w:w w:val="90"/>
              </w:rPr>
              <w:t>Condensed Consolidated Financial Statements as of December 31, 2020 and June 30, 2021 and the Six Months Ended June 30, 2020 and 2021:</w:t>
            </w:r>
          </w:p>
        </w:tc>
        <w:tc>
          <w:tcPr>
            <w:tcW w:w="720" w:type="dxa"/>
            <w:vAlign w:val="bottom"/>
          </w:tcPr>
          <w:p>
            <w:pPr>
              <w:spacing w:after="0"/>
              <w:rPr>
                <w:sz w:val="23"/>
                <w:szCs w:val="23"/>
                <w:color w:val="auto"/>
              </w:rPr>
            </w:pPr>
          </w:p>
        </w:tc>
      </w:tr>
      <w:tr>
        <w:trPr>
          <w:trHeight w:val="232"/>
        </w:trPr>
        <w:tc>
          <w:tcPr>
            <w:tcW w:w="10460" w:type="dxa"/>
            <w:vAlign w:val="bottom"/>
            <w:gridSpan w:val="14"/>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Condensed Consolidated Balance Sheets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35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34">
              <w:r>
                <w:rPr>
                  <w:rFonts w:ascii="Arial" w:cs="Arial" w:eastAsia="Arial" w:hAnsi="Arial"/>
                  <w:sz w:val="18"/>
                  <w:szCs w:val="18"/>
                  <w:color w:val="0000EE"/>
                  <w:w w:val="86"/>
                </w:rPr>
                <w:t>Condensed Consolidated Statements of Operations</w:t>
              </w:r>
            </w:hyperlink>
          </w:p>
        </w:tc>
        <w:tc>
          <w:tcPr>
            <w:tcW w:w="6880" w:type="dxa"/>
            <w:vAlign w:val="bottom"/>
            <w:gridSpan w:val="7"/>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F-26</w:t>
            </w:r>
          </w:p>
        </w:tc>
      </w:tr>
      <w:tr>
        <w:trPr>
          <w:trHeight w:val="250"/>
        </w:trPr>
        <w:tc>
          <w:tcPr>
            <w:tcW w:w="10460" w:type="dxa"/>
            <w:vAlign w:val="bottom"/>
            <w:gridSpan w:val="14"/>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Condensed Consolidated Statements of Comprehensive Loss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F-27</w:t>
            </w:r>
          </w:p>
        </w:tc>
      </w:tr>
      <w:tr>
        <w:trPr>
          <w:trHeight w:val="20"/>
        </w:trPr>
        <w:tc>
          <w:tcPr>
            <w:tcW w:w="3640" w:type="dxa"/>
            <w:vAlign w:val="bottom"/>
            <w:gridSpan w:val="8"/>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72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36">
              <w:r>
                <w:rPr>
                  <w:rFonts w:ascii="Arial" w:cs="Arial" w:eastAsia="Arial" w:hAnsi="Arial"/>
                  <w:sz w:val="18"/>
                  <w:szCs w:val="18"/>
                  <w:color w:val="0000EE"/>
                  <w:w w:val="88"/>
                </w:rPr>
                <w:t>Condensed Consolidated Statements of Convertible Preferred Stock and Stockholders’ Equity (Deficit)</w:t>
              </w:r>
            </w:hyperlink>
          </w:p>
        </w:tc>
        <w:tc>
          <w:tcPr>
            <w:tcW w:w="3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F-28</w:t>
            </w:r>
          </w:p>
        </w:tc>
      </w:tr>
      <w:tr>
        <w:trPr>
          <w:trHeight w:val="250"/>
        </w:trPr>
        <w:tc>
          <w:tcPr>
            <w:tcW w:w="36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237">
              <w:r>
                <w:rPr>
                  <w:rFonts w:ascii="Arial" w:cs="Arial" w:eastAsia="Arial" w:hAnsi="Arial"/>
                  <w:sz w:val="18"/>
                  <w:szCs w:val="18"/>
                  <w:color w:val="0000EE"/>
                  <w:w w:val="86"/>
                </w:rPr>
                <w:t>Condensed Consolidated Statements of Cash Flows</w:t>
              </w:r>
            </w:hyperlink>
          </w:p>
        </w:tc>
        <w:tc>
          <w:tcPr>
            <w:tcW w:w="6820" w:type="dxa"/>
            <w:vAlign w:val="bottom"/>
            <w:gridSpan w:val="6"/>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250"/>
        </w:trPr>
        <w:tc>
          <w:tcPr>
            <w:tcW w:w="10460" w:type="dxa"/>
            <w:vAlign w:val="bottom"/>
            <w:gridSpan w:val="14"/>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Notes to Unaudited Condensed 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780" w:type="dxa"/>
            <w:vAlign w:val="bottom"/>
            <w:gridSpan w:val="3"/>
          </w:tcPr>
          <w:p>
            <w:pPr>
              <w:jc w:val="center"/>
              <w:ind w:right="3900"/>
              <w:spacing w:after="0"/>
              <w:rPr>
                <w:sz w:val="20"/>
                <w:szCs w:val="20"/>
                <w:color w:val="auto"/>
              </w:rPr>
            </w:pPr>
            <w:r>
              <w:rPr>
                <w:rFonts w:ascii="Arial" w:cs="Arial" w:eastAsia="Arial" w:hAnsi="Arial"/>
                <w:sz w:val="18"/>
                <w:szCs w:val="18"/>
                <w:color w:val="auto"/>
                <w:w w:val="88"/>
              </w:rPr>
              <w:t>F-1</w:t>
            </w:r>
          </w:p>
        </w:tc>
        <w:tc>
          <w:tcPr>
            <w:tcW w:w="72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PepGen Inc.: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9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have audited the accompanying consolidated balance sheets of PepGen Inc. and subsidiary (the Company) as of December 31, 2019 and 2020, the related consolidated statements of operations, comprehensive loss, convertible preferred stock and stockholders’ equity (deficit), and cash flows for each of the years in the two-year period ended December 31, 2020, and the related notes (collectively, the consolidated financial statements). In our opinion, the consolidated financial statements present fairly, in all material respects, the financial position of the Company as of December 31, 2019 and 2020, and the results of its operations and its cash flows for each of the years in the two-year period ended December 31, 2020, in conformity with U.S. generally accepted accounting principles.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6" w:lineRule="exact"/>
        <w:rPr>
          <w:sz w:val="20"/>
          <w:szCs w:val="20"/>
          <w:color w:val="auto"/>
        </w:rPr>
      </w:pPr>
    </w:p>
    <w:p>
      <w:pPr>
        <w:ind w:right="460" w:firstLine="449"/>
        <w:spacing w:after="0" w:line="298"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180" w:firstLine="449"/>
        <w:spacing w:after="0" w:line="290"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 2021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459" w:right="3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0"/>
        </w:trPr>
        <w:tc>
          <w:tcPr>
            <w:tcW w:w="96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3,774</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9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4,193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(including related party amounts of $16 and $57, respectively)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Preferred stock warrant liability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00" w:type="dxa"/>
            <w:vAlign w:val="bottom"/>
          </w:tcPr>
          <w:p>
            <w:pPr>
              <w:spacing w:after="0"/>
              <w:rPr>
                <w:sz w:val="20"/>
                <w:szCs w:val="20"/>
                <w:color w:val="auto"/>
              </w:rPr>
            </w:pPr>
            <w:r>
              <w:rPr>
                <w:rFonts w:ascii="Arial" w:cs="Arial" w:eastAsia="Arial" w:hAnsi="Arial"/>
                <w:sz w:val="18"/>
                <w:szCs w:val="18"/>
                <w:color w:val="auto"/>
                <w:w w:val="94"/>
              </w:rPr>
              <w:t>Series A-1 convertible preferred stock, $0.0001 par value; zero and 1,372,970 shares authorized, issued, and outstanding as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220"/>
              <w:spacing w:after="0"/>
              <w:rPr>
                <w:sz w:val="20"/>
                <w:szCs w:val="20"/>
                <w:color w:val="auto"/>
              </w:rPr>
            </w:pPr>
            <w:r>
              <w:rPr>
                <w:rFonts w:ascii="Arial" w:cs="Arial" w:eastAsia="Arial" w:hAnsi="Arial"/>
                <w:sz w:val="18"/>
                <w:szCs w:val="18"/>
                <w:color w:val="auto"/>
                <w:w w:val="94"/>
              </w:rPr>
              <w:t>December 31, 2019 and 2020, respectively; zero and $6.4 million liquidation preference as of December 31, 2019 and 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A-2 convertible preferred stock, $0.0001 par value; zero and 3,974,598 shares authorized as of December 31, 2019 and 2020,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respectively; zero and 700,278 shares issued and outstanding as of December 31, 2019 and 2020, respectively; zero and $8.0 million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liquidation preference as of December 31, 2019 and 2020, respectively</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A common stock, $0.0001 par value; 7,800,000 shares authorized as of December 31, 2019 and 2020; 1,801,540 and 910,160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 outstanding as of December 31, 2019 and 2020, respectively</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600" w:type="dxa"/>
            <w:vAlign w:val="bottom"/>
          </w:tcPr>
          <w:p>
            <w:pPr>
              <w:spacing w:after="0"/>
              <w:rPr>
                <w:sz w:val="20"/>
                <w:szCs w:val="20"/>
                <w:color w:val="auto"/>
              </w:rPr>
            </w:pPr>
            <w:r>
              <w:rPr>
                <w:rFonts w:ascii="Arial" w:cs="Arial" w:eastAsia="Arial" w:hAnsi="Arial"/>
                <w:sz w:val="18"/>
                <w:szCs w:val="18"/>
                <w:color w:val="auto"/>
                <w:w w:val="89"/>
              </w:rPr>
              <w:t>Class B common stock, $0.00001 par value; 571,430 shares authorized as of December 31, 2019 and 2020; 571,430 and zero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ind w:left="220"/>
              <w:spacing w:after="0"/>
              <w:rPr>
                <w:sz w:val="20"/>
                <w:szCs w:val="20"/>
                <w:color w:val="auto"/>
              </w:rPr>
            </w:pPr>
            <w:r>
              <w:rPr>
                <w:rFonts w:ascii="Arial" w:cs="Arial" w:eastAsia="Arial" w:hAnsi="Arial"/>
                <w:sz w:val="18"/>
                <w:szCs w:val="18"/>
                <w:color w:val="auto"/>
              </w:rPr>
              <w:t>issued and outstanding as of December 31, 2019 and 2020, respectively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(2,394)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8"/>
        </w:trPr>
        <w:tc>
          <w:tcPr>
            <w:tcW w:w="9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2019</w:t>
            </w:r>
          </w:p>
        </w:tc>
        <w:tc>
          <w:tcPr>
            <w:tcW w:w="2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Research and development (including related party amounts of $87 and $152, respectively)</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General and administrative (including related party amounts of $22 and $0, respectively)</w:t>
            </w:r>
          </w:p>
        </w:tc>
        <w:tc>
          <w:tcPr>
            <w:tcW w:w="1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320" w:type="dxa"/>
            <w:vAlign w:val="bottom"/>
          </w:tcPr>
          <w:p>
            <w:pPr>
              <w:ind w:left="88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income (expense),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Deemed dividend on Class A and B stock conversion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40"/>
              <w:spacing w:after="0"/>
              <w:rPr>
                <w:sz w:val="20"/>
                <w:szCs w:val="20"/>
                <w:color w:val="auto"/>
              </w:rPr>
            </w:pPr>
            <w:r>
              <w:rPr>
                <w:rFonts w:ascii="Arial" w:cs="Arial" w:eastAsia="Arial" w:hAnsi="Arial"/>
                <w:sz w:val="18"/>
                <w:szCs w:val="18"/>
                <w:color w:val="auto"/>
              </w:rPr>
              <w:t>Net loss attributable to common stockholders</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per share, basic and diluted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839,992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885,311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6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9640" w:type="dxa"/>
            <w:vAlign w:val="bottom"/>
          </w:tcPr>
          <w:p>
            <w:pPr>
              <w:spacing w:after="0"/>
              <w:rPr>
                <w:sz w:val="19"/>
                <w:szCs w:val="19"/>
                <w:color w:val="auto"/>
              </w:rPr>
            </w:pPr>
          </w:p>
        </w:tc>
        <w:tc>
          <w:tcPr>
            <w:tcW w:w="16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964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210"/>
        </w:trPr>
        <w:tc>
          <w:tcPr>
            <w:tcW w:w="9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(1,346)</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(1,889)</w:t>
            </w:r>
          </w:p>
        </w:tc>
        <w:tc>
          <w:tcPr>
            <w:tcW w:w="120" w:type="dxa"/>
            <w:vAlign w:val="bottom"/>
            <w:shd w:val="clear" w:color="auto" w:fill="CCEEFF"/>
          </w:tcPr>
          <w:p>
            <w:pPr>
              <w:spacing w:after="0"/>
              <w:rPr>
                <w:sz w:val="18"/>
                <w:szCs w:val="18"/>
                <w:color w:val="auto"/>
              </w:rPr>
            </w:pPr>
          </w:p>
        </w:tc>
      </w:tr>
      <w:tr>
        <w:trPr>
          <w:trHeight w:val="223"/>
        </w:trPr>
        <w:tc>
          <w:tcPr>
            <w:tcW w:w="9640" w:type="dxa"/>
            <w:vAlign w:val="bottom"/>
          </w:tcPr>
          <w:p>
            <w:pPr>
              <w:spacing w:after="0"/>
              <w:rPr>
                <w:sz w:val="20"/>
                <w:szCs w:val="20"/>
                <w:color w:val="auto"/>
              </w:rPr>
            </w:pPr>
            <w:r>
              <w:rPr>
                <w:rFonts w:ascii="Arial" w:cs="Arial" w:eastAsia="Arial" w:hAnsi="Arial"/>
                <w:sz w:val="18"/>
                <w:szCs w:val="18"/>
                <w:color w:val="auto"/>
              </w:rPr>
              <w:t>Cumulative translation adjustment arising during the period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(1,256)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 (1,889)</w:t>
            </w:r>
          </w:p>
        </w:tc>
      </w:tr>
      <w:tr>
        <w:trPr>
          <w:trHeight w:val="20"/>
        </w:trPr>
        <w:tc>
          <w:tcPr>
            <w:tcW w:w="9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2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1"/>
              </w:rPr>
              <w:t>Series A-1</w:t>
            </w:r>
          </w:p>
        </w:tc>
        <w:tc>
          <w:tcPr>
            <w:tcW w:w="11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1"/>
              </w:rPr>
              <w:t>Series A-2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3"/>
        </w:trPr>
        <w:tc>
          <w:tcPr>
            <w:tcW w:w="2460" w:type="dxa"/>
            <w:vAlign w:val="bottom"/>
          </w:tcPr>
          <w:p>
            <w:pPr>
              <w:spacing w:after="0"/>
              <w:rPr>
                <w:sz w:val="4"/>
                <w:szCs w:val="4"/>
                <w:color w:val="auto"/>
              </w:rPr>
            </w:pPr>
          </w:p>
        </w:tc>
        <w:tc>
          <w:tcPr>
            <w:tcW w:w="1260" w:type="dxa"/>
            <w:vAlign w:val="bottom"/>
            <w:gridSpan w:val="5"/>
            <w:vMerge w:val="restart"/>
          </w:tcPr>
          <w:p>
            <w:pPr>
              <w:jc w:val="center"/>
              <w:ind w:right="100"/>
              <w:spacing w:after="0" w:line="134" w:lineRule="exact"/>
              <w:rPr>
                <w:sz w:val="20"/>
                <w:szCs w:val="20"/>
                <w:color w:val="auto"/>
              </w:rPr>
            </w:pPr>
            <w:r>
              <w:rPr>
                <w:rFonts w:ascii="Arial" w:cs="Arial" w:eastAsia="Arial" w:hAnsi="Arial"/>
                <w:sz w:val="13"/>
                <w:szCs w:val="13"/>
                <w:b w:val="1"/>
                <w:bCs w:val="1"/>
                <w:color w:val="auto"/>
                <w:w w:val="95"/>
              </w:rPr>
              <w:t>Convertible</w:t>
            </w:r>
          </w:p>
        </w:tc>
        <w:tc>
          <w:tcPr>
            <w:tcW w:w="1160" w:type="dxa"/>
            <w:vAlign w:val="bottom"/>
            <w:gridSpan w:val="5"/>
            <w:vMerge w:val="restart"/>
          </w:tcPr>
          <w:p>
            <w:pPr>
              <w:jc w:val="center"/>
              <w:ind w:right="80"/>
              <w:spacing w:after="0" w:line="134" w:lineRule="exact"/>
              <w:rPr>
                <w:sz w:val="20"/>
                <w:szCs w:val="20"/>
                <w:color w:val="auto"/>
              </w:rPr>
            </w:pPr>
            <w:r>
              <w:rPr>
                <w:rFonts w:ascii="Arial" w:cs="Arial" w:eastAsia="Arial" w:hAnsi="Arial"/>
                <w:sz w:val="13"/>
                <w:szCs w:val="13"/>
                <w:b w:val="1"/>
                <w:bCs w:val="1"/>
                <w:color w:val="auto"/>
                <w:w w:val="95"/>
              </w:rPr>
              <w:t>Convertible</w:t>
            </w:r>
          </w:p>
        </w:tc>
        <w:tc>
          <w:tcPr>
            <w:tcW w:w="10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1060" w:type="dxa"/>
            <w:vAlign w:val="bottom"/>
            <w:gridSpan w:val="3"/>
            <w:vMerge w:val="restart"/>
          </w:tcPr>
          <w:p>
            <w:pPr>
              <w:jc w:val="right"/>
              <w:ind w:right="184"/>
              <w:spacing w:after="0" w:line="134" w:lineRule="exact"/>
              <w:rPr>
                <w:sz w:val="20"/>
                <w:szCs w:val="20"/>
                <w:color w:val="auto"/>
              </w:rPr>
            </w:pPr>
            <w:r>
              <w:rPr>
                <w:rFonts w:ascii="Arial" w:cs="Arial" w:eastAsia="Arial" w:hAnsi="Arial"/>
                <w:sz w:val="13"/>
                <w:szCs w:val="13"/>
                <w:b w:val="1"/>
                <w:bCs w:val="1"/>
                <w:color w:val="auto"/>
              </w:rPr>
              <w:t>Class A</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5"/>
            <w:vMerge w:val="restart"/>
          </w:tcPr>
          <w:p>
            <w:pPr>
              <w:ind w:left="80"/>
              <w:spacing w:after="0" w:line="134" w:lineRule="exact"/>
              <w:rPr>
                <w:sz w:val="20"/>
                <w:szCs w:val="20"/>
                <w:color w:val="auto"/>
              </w:rPr>
            </w:pPr>
            <w:r>
              <w:rPr>
                <w:rFonts w:ascii="Arial" w:cs="Arial" w:eastAsia="Arial" w:hAnsi="Arial"/>
                <w:sz w:val="13"/>
                <w:szCs w:val="13"/>
                <w:b w:val="1"/>
                <w:bCs w:val="1"/>
                <w:color w:val="auto"/>
              </w:rPr>
              <w:t>Class B Common</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260" w:type="dxa"/>
            <w:vAlign w:val="bottom"/>
            <w:gridSpan w:val="5"/>
            <w:vMerge w:val="continue"/>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4"/>
              </w:rPr>
              <w:t>Preferred Stock</w:t>
            </w:r>
          </w:p>
        </w:tc>
        <w:tc>
          <w:tcPr>
            <w:tcW w:w="116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4"/>
              </w:rPr>
              <w:t>Preferred Stock</w:t>
            </w:r>
          </w:p>
        </w:tc>
        <w:tc>
          <w:tcPr>
            <w:tcW w:w="100" w:type="dxa"/>
            <w:vAlign w:val="bottom"/>
            <w:tcBorders>
              <w:bottom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84"/>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Stockholders’</w:t>
            </w:r>
          </w:p>
        </w:tc>
        <w:tc>
          <w:tcPr>
            <w:tcW w:w="0" w:type="dxa"/>
            <w:vAlign w:val="bottom"/>
          </w:tcPr>
          <w:p>
            <w:pPr>
              <w:spacing w:after="0"/>
              <w:rPr>
                <w:sz w:val="1"/>
                <w:szCs w:val="1"/>
                <w:color w:val="auto"/>
              </w:rPr>
            </w:pPr>
          </w:p>
        </w:tc>
      </w:tr>
      <w:tr>
        <w:trPr>
          <w:trHeight w:val="75"/>
        </w:trPr>
        <w:tc>
          <w:tcPr>
            <w:tcW w:w="24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ind w:right="200"/>
              <w:spacing w:after="0" w:line="76" w:lineRule="exact"/>
              <w:rPr>
                <w:sz w:val="20"/>
                <w:szCs w:val="20"/>
                <w:color w:val="auto"/>
              </w:rPr>
            </w:pPr>
            <w:r>
              <w:rPr>
                <w:rFonts w:ascii="Arial" w:cs="Arial" w:eastAsia="Arial" w:hAnsi="Arial"/>
                <w:sz w:val="8"/>
                <w:szCs w:val="8"/>
                <w:b w:val="1"/>
                <w:bCs w:val="1"/>
                <w:color w:val="auto"/>
              </w:rPr>
              <w:t>Paid-in</w:t>
            </w:r>
          </w:p>
        </w:tc>
        <w:tc>
          <w:tcPr>
            <w:tcW w:w="40" w:type="dxa"/>
            <w:vAlign w:val="bottom"/>
          </w:tcPr>
          <w:p>
            <w:pPr>
              <w:spacing w:after="0"/>
              <w:rPr>
                <w:sz w:val="6"/>
                <w:szCs w:val="6"/>
                <w:color w:val="auto"/>
              </w:rPr>
            </w:pPr>
          </w:p>
        </w:tc>
        <w:tc>
          <w:tcPr>
            <w:tcW w:w="1040" w:type="dxa"/>
            <w:vAlign w:val="bottom"/>
            <w:gridSpan w:val="3"/>
          </w:tcPr>
          <w:p>
            <w:pPr>
              <w:jc w:val="center"/>
              <w:ind w:right="140"/>
              <w:spacing w:after="0" w:line="76" w:lineRule="exact"/>
              <w:rPr>
                <w:sz w:val="20"/>
                <w:szCs w:val="20"/>
                <w:color w:val="auto"/>
              </w:rPr>
            </w:pPr>
            <w:r>
              <w:rPr>
                <w:rFonts w:ascii="Arial" w:cs="Arial" w:eastAsia="Arial" w:hAnsi="Arial"/>
                <w:sz w:val="8"/>
                <w:szCs w:val="8"/>
                <w:b w:val="1"/>
                <w:bCs w:val="1"/>
                <w:color w:val="auto"/>
              </w:rPr>
              <w:t>Comprehensive</w:t>
            </w:r>
          </w:p>
        </w:tc>
        <w:tc>
          <w:tcPr>
            <w:tcW w:w="86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Accumulated</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tcPr>
          <w:p>
            <w:pPr>
              <w:jc w:val="center"/>
              <w:ind w:right="240"/>
              <w:spacing w:after="0" w:line="76" w:lineRule="exact"/>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580" w:type="dxa"/>
            <w:vAlign w:val="bottom"/>
          </w:tcPr>
          <w:p>
            <w:pPr>
              <w:jc w:val="right"/>
              <w:ind w:right="33"/>
              <w:spacing w:after="0" w:line="148"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5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Amount</w:t>
            </w:r>
          </w:p>
        </w:tc>
        <w:tc>
          <w:tcPr>
            <w:tcW w:w="48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3"/>
                <w:szCs w:val="13"/>
                <w:color w:val="auto"/>
              </w:rPr>
            </w:pPr>
          </w:p>
        </w:tc>
        <w:tc>
          <w:tcPr>
            <w:tcW w:w="58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Amount</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jc w:val="right"/>
              <w:ind w:right="100"/>
              <w:spacing w:after="0" w:line="148" w:lineRule="exact"/>
              <w:rPr>
                <w:sz w:val="20"/>
                <w:szCs w:val="20"/>
                <w:color w:val="auto"/>
              </w:rPr>
            </w:pPr>
            <w:r>
              <w:rPr>
                <w:rFonts w:ascii="Arial" w:cs="Arial" w:eastAsia="Arial" w:hAnsi="Arial"/>
                <w:sz w:val="13"/>
                <w:szCs w:val="13"/>
                <w:b w:val="1"/>
                <w:bCs w:val="1"/>
                <w:color w:val="auto"/>
                <w:w w:val="93"/>
              </w:rPr>
              <w:t>Amount</w:t>
            </w:r>
          </w:p>
        </w:tc>
        <w:tc>
          <w:tcPr>
            <w:tcW w:w="660" w:type="dxa"/>
            <w:vAlign w:val="bottom"/>
            <w:gridSpan w:val="2"/>
          </w:tcPr>
          <w:p>
            <w:pPr>
              <w:ind w:left="60"/>
              <w:spacing w:after="0" w:line="148" w:lineRule="exact"/>
              <w:rPr>
                <w:sz w:val="20"/>
                <w:szCs w:val="20"/>
                <w:color w:val="auto"/>
              </w:rPr>
            </w:pPr>
            <w:r>
              <w:rPr>
                <w:rFonts w:ascii="Arial" w:cs="Arial" w:eastAsia="Arial" w:hAnsi="Arial"/>
                <w:sz w:val="13"/>
                <w:szCs w:val="13"/>
                <w:b w:val="1"/>
                <w:bCs w:val="1"/>
                <w:color w:val="auto"/>
              </w:rPr>
              <w:t>Shares</w:t>
            </w:r>
          </w:p>
        </w:tc>
        <w:tc>
          <w:tcPr>
            <w:tcW w:w="54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0"/>
              <w:spacing w:after="0" w:line="148" w:lineRule="exact"/>
              <w:rPr>
                <w:sz w:val="20"/>
                <w:szCs w:val="20"/>
                <w:color w:val="auto"/>
              </w:rPr>
            </w:pPr>
            <w:r>
              <w:rPr>
                <w:rFonts w:ascii="Arial" w:cs="Arial" w:eastAsia="Arial" w:hAnsi="Arial"/>
                <w:sz w:val="13"/>
                <w:szCs w:val="13"/>
                <w:b w:val="1"/>
                <w:bCs w:val="1"/>
                <w:color w:val="auto"/>
                <w:w w:val="96"/>
              </w:rPr>
              <w:t>Capital</w:t>
            </w:r>
          </w:p>
        </w:tc>
        <w:tc>
          <w:tcPr>
            <w:tcW w:w="40" w:type="dxa"/>
            <w:vAlign w:val="bottom"/>
          </w:tcPr>
          <w:p>
            <w:pPr>
              <w:spacing w:after="0"/>
              <w:rPr>
                <w:sz w:val="13"/>
                <w:szCs w:val="13"/>
                <w:color w:val="auto"/>
              </w:rPr>
            </w:pPr>
          </w:p>
        </w:tc>
        <w:tc>
          <w:tcPr>
            <w:tcW w:w="1040" w:type="dxa"/>
            <w:vAlign w:val="bottom"/>
            <w:gridSpan w:val="3"/>
          </w:tcPr>
          <w:p>
            <w:pPr>
              <w:jc w:val="center"/>
              <w:ind w:right="140"/>
              <w:spacing w:after="0" w:line="148" w:lineRule="exact"/>
              <w:rPr>
                <w:sz w:val="20"/>
                <w:szCs w:val="20"/>
                <w:color w:val="auto"/>
              </w:rPr>
            </w:pPr>
            <w:r>
              <w:rPr>
                <w:rFonts w:ascii="Arial" w:cs="Arial" w:eastAsia="Arial" w:hAnsi="Arial"/>
                <w:sz w:val="13"/>
                <w:szCs w:val="13"/>
                <w:b w:val="1"/>
                <w:bCs w:val="1"/>
                <w:color w:val="auto"/>
                <w:w w:val="92"/>
              </w:rPr>
              <w:t>Income (Loss)</w:t>
            </w:r>
          </w:p>
        </w:tc>
        <w:tc>
          <w:tcPr>
            <w:tcW w:w="120" w:type="dxa"/>
            <w:vAlign w:val="bottom"/>
          </w:tcPr>
          <w:p>
            <w:pPr>
              <w:spacing w:after="0"/>
              <w:rPr>
                <w:sz w:val="13"/>
                <w:szCs w:val="13"/>
                <w:color w:val="auto"/>
              </w:rPr>
            </w:pPr>
          </w:p>
        </w:tc>
        <w:tc>
          <w:tcPr>
            <w:tcW w:w="74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Deficit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48"/>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December 31, 2018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76"/>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right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1,758,680</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3"/>
                <w:szCs w:val="13"/>
                <w:color w:val="auto"/>
                <w:w w:val="76"/>
              </w:rPr>
              <w:t>—</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w w:val="76"/>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3,479</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440"/>
              <w:spacing w:after="0"/>
              <w:rPr>
                <w:sz w:val="20"/>
                <w:szCs w:val="20"/>
                <w:color w:val="auto"/>
              </w:rPr>
            </w:pPr>
            <w:r>
              <w:rPr>
                <w:rFonts w:ascii="Arial" w:cs="Arial" w:eastAsia="Arial" w:hAnsi="Arial"/>
                <w:sz w:val="13"/>
                <w:szCs w:val="13"/>
                <w:color w:val="auto"/>
              </w:rPr>
              <w:t>Issuance of common stock</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42,860</w:t>
            </w:r>
          </w:p>
        </w:tc>
        <w:tc>
          <w:tcPr>
            <w:tcW w:w="34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571,430</w:t>
            </w:r>
          </w:p>
        </w:tc>
        <w:tc>
          <w:tcPr>
            <w:tcW w:w="220" w:type="dxa"/>
            <w:vAlign w:val="bottom"/>
          </w:tcPr>
          <w:p>
            <w:pPr>
              <w:spacing w:after="0"/>
              <w:rPr>
                <w:sz w:val="12"/>
                <w:szCs w:val="12"/>
                <w:color w:val="auto"/>
              </w:rPr>
            </w:pP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2,790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2,790</w:t>
            </w: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loss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138"/>
        </w:trPr>
        <w:tc>
          <w:tcPr>
            <w:tcW w:w="2460" w:type="dxa"/>
            <w:vAlign w:val="bottom"/>
          </w:tcPr>
          <w:p>
            <w:pPr>
              <w:ind w:left="440"/>
              <w:spacing w:after="0" w:line="138" w:lineRule="exact"/>
              <w:rPr>
                <w:sz w:val="20"/>
                <w:szCs w:val="20"/>
                <w:color w:val="auto"/>
              </w:rPr>
            </w:pPr>
            <w:r>
              <w:rPr>
                <w:rFonts w:ascii="Arial" w:cs="Arial" w:eastAsia="Arial" w:hAnsi="Arial"/>
                <w:sz w:val="13"/>
                <w:szCs w:val="13"/>
                <w:color w:val="auto"/>
              </w:rPr>
              <w:t>Foreign currency translation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60" w:type="dxa"/>
            <w:vAlign w:val="bottom"/>
          </w:tcPr>
          <w:p>
            <w:pPr>
              <w:ind w:left="660"/>
              <w:spacing w:after="0"/>
              <w:rPr>
                <w:sz w:val="20"/>
                <w:szCs w:val="20"/>
                <w:color w:val="auto"/>
              </w:rPr>
            </w:pPr>
            <w:r>
              <w:rPr>
                <w:rFonts w:ascii="Arial" w:cs="Arial" w:eastAsia="Arial" w:hAnsi="Arial"/>
                <w:sz w:val="13"/>
                <w:szCs w:val="13"/>
                <w:color w:val="auto"/>
              </w:rPr>
              <w:t>adjustment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Balance as of December 31, 2019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1,801,540</w:t>
            </w:r>
          </w:p>
        </w:tc>
        <w:tc>
          <w:tcPr>
            <w:tcW w:w="3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571,430</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3,867</w:t>
            </w:r>
          </w:p>
        </w:tc>
        <w:tc>
          <w:tcPr>
            <w:tcW w:w="0" w:type="dxa"/>
            <w:vAlign w:val="bottom"/>
          </w:tcPr>
          <w:p>
            <w:pPr>
              <w:spacing w:after="0"/>
              <w:rPr>
                <w:sz w:val="1"/>
                <w:szCs w:val="1"/>
                <w:color w:val="auto"/>
              </w:rPr>
            </w:pPr>
          </w:p>
        </w:tc>
      </w:tr>
      <w:tr>
        <w:trPr>
          <w:trHeight w:val="148"/>
        </w:trPr>
        <w:tc>
          <w:tcPr>
            <w:tcW w:w="2460" w:type="dxa"/>
            <w:vAlign w:val="bottom"/>
          </w:tcPr>
          <w:p>
            <w:pPr>
              <w:ind w:left="44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51,720</w:t>
            </w:r>
          </w:p>
        </w:tc>
        <w:tc>
          <w:tcPr>
            <w:tcW w:w="34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Issuance costs of common stock</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8"/>
        </w:trPr>
        <w:tc>
          <w:tcPr>
            <w:tcW w:w="2460" w:type="dxa"/>
            <w:vAlign w:val="bottom"/>
          </w:tcPr>
          <w:p>
            <w:pPr>
              <w:ind w:left="440"/>
              <w:spacing w:after="0" w:line="138" w:lineRule="exact"/>
              <w:rPr>
                <w:sz w:val="20"/>
                <w:szCs w:val="20"/>
                <w:color w:val="auto"/>
              </w:rPr>
            </w:pPr>
            <w:r>
              <w:rPr>
                <w:rFonts w:ascii="Arial" w:cs="Arial" w:eastAsia="Arial" w:hAnsi="Arial"/>
                <w:sz w:val="13"/>
                <w:szCs w:val="13"/>
                <w:color w:val="auto"/>
              </w:rPr>
              <w:t>Conversion of common stock to</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660"/>
              <w:spacing w:after="0"/>
              <w:rPr>
                <w:sz w:val="20"/>
                <w:szCs w:val="20"/>
                <w:color w:val="auto"/>
              </w:rPr>
            </w:pPr>
            <w:r>
              <w:rPr>
                <w:rFonts w:ascii="Arial" w:cs="Arial" w:eastAsia="Arial" w:hAnsi="Arial"/>
                <w:sz w:val="13"/>
                <w:szCs w:val="13"/>
                <w:color w:val="auto"/>
                <w:w w:val="96"/>
              </w:rPr>
              <w:t>Series A-1 convertible preferred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60" w:type="dxa"/>
            <w:vAlign w:val="bottom"/>
          </w:tcPr>
          <w:p>
            <w:pPr>
              <w:ind w:left="660"/>
              <w:spacing w:after="0"/>
              <w:rPr>
                <w:sz w:val="20"/>
                <w:szCs w:val="20"/>
                <w:color w:val="auto"/>
              </w:rPr>
            </w:pPr>
            <w:r>
              <w:rPr>
                <w:rFonts w:ascii="Arial" w:cs="Arial" w:eastAsia="Arial" w:hAnsi="Arial"/>
                <w:sz w:val="13"/>
                <w:szCs w:val="13"/>
                <w:color w:val="auto"/>
              </w:rPr>
              <w:t>stock</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1,372,970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8,454</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(801,540)</w:t>
            </w:r>
          </w:p>
        </w:tc>
        <w:tc>
          <w:tcPr>
            <w:tcW w:w="34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(571,430)</w:t>
            </w:r>
          </w:p>
        </w:tc>
        <w:tc>
          <w:tcPr>
            <w:tcW w:w="220" w:type="dxa"/>
            <w:vAlign w:val="bottom"/>
          </w:tcPr>
          <w:p>
            <w:pPr>
              <w:spacing w:after="0"/>
              <w:rPr>
                <w:sz w:val="13"/>
                <w:szCs w:val="13"/>
                <w:color w:val="auto"/>
              </w:rPr>
            </w:pP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(6,266)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(2,188)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(8,454)</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Issuance of Series A-2 convertible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660"/>
              <w:spacing w:after="0"/>
              <w:rPr>
                <w:sz w:val="20"/>
                <w:szCs w:val="20"/>
                <w:color w:val="auto"/>
              </w:rPr>
            </w:pPr>
            <w:r>
              <w:rPr>
                <w:rFonts w:ascii="Arial" w:cs="Arial" w:eastAsia="Arial" w:hAnsi="Arial"/>
                <w:sz w:val="13"/>
                <w:szCs w:val="13"/>
                <w:color w:val="auto"/>
                <w:w w:val="98"/>
              </w:rPr>
              <w:t>preferred stock, net of issuance</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cost of $320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700,278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7,680</w:t>
            </w:r>
          </w:p>
        </w:tc>
        <w:tc>
          <w:tcPr>
            <w:tcW w:w="1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460" w:type="dxa"/>
            <w:vAlign w:val="bottom"/>
          </w:tcPr>
          <w:p>
            <w:pPr>
              <w:ind w:left="440"/>
              <w:spacing w:after="0" w:line="138" w:lineRule="exact"/>
              <w:rPr>
                <w:sz w:val="20"/>
                <w:szCs w:val="20"/>
                <w:color w:val="auto"/>
              </w:rPr>
            </w:pPr>
            <w:r>
              <w:rPr>
                <w:rFonts w:ascii="Arial" w:cs="Arial" w:eastAsia="Arial" w:hAnsi="Arial"/>
                <w:sz w:val="13"/>
                <w:szCs w:val="13"/>
                <w:color w:val="auto"/>
              </w:rPr>
              <w:t>Vesting conditions placed on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ind w:left="660"/>
              <w:spacing w:after="0"/>
              <w:rPr>
                <w:sz w:val="20"/>
                <w:szCs w:val="20"/>
                <w:color w:val="auto"/>
              </w:rPr>
            </w:pPr>
            <w:r>
              <w:rPr>
                <w:rFonts w:ascii="Arial" w:cs="Arial" w:eastAsia="Arial" w:hAnsi="Arial"/>
                <w:sz w:val="13"/>
                <w:szCs w:val="13"/>
                <w:color w:val="auto"/>
              </w:rPr>
              <w:t>previously issued common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60" w:type="dxa"/>
            <w:vAlign w:val="bottom"/>
          </w:tcPr>
          <w:p>
            <w:pPr>
              <w:ind w:left="660"/>
              <w:spacing w:after="0"/>
              <w:rPr>
                <w:sz w:val="20"/>
                <w:szCs w:val="20"/>
                <w:color w:val="auto"/>
              </w:rPr>
            </w:pPr>
            <w:r>
              <w:rPr>
                <w:rFonts w:ascii="Arial" w:cs="Arial" w:eastAsia="Arial" w:hAnsi="Arial"/>
                <w:sz w:val="13"/>
                <w:szCs w:val="13"/>
                <w:color w:val="auto"/>
              </w:rPr>
              <w:t>shares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3"/>
                <w:szCs w:val="13"/>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3"/>
                <w:szCs w:val="13"/>
                <w:color w:val="auto"/>
              </w:rPr>
              <w:t>(141,560)</w:t>
            </w:r>
          </w:p>
        </w:tc>
        <w:tc>
          <w:tcPr>
            <w:tcW w:w="34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6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5"/>
              </w:rPr>
              <w:t>Stock-based compensation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48"/>
        </w:trPr>
        <w:tc>
          <w:tcPr>
            <w:tcW w:w="2460" w:type="dxa"/>
            <w:vAlign w:val="bottom"/>
          </w:tcPr>
          <w:p>
            <w:pPr>
              <w:ind w:left="440"/>
              <w:spacing w:after="0"/>
              <w:rPr>
                <w:sz w:val="20"/>
                <w:szCs w:val="20"/>
                <w:color w:val="auto"/>
              </w:rPr>
            </w:pPr>
            <w:r>
              <w:rPr>
                <w:rFonts w:ascii="Arial" w:cs="Arial" w:eastAsia="Arial" w:hAnsi="Arial"/>
                <w:sz w:val="13"/>
                <w:szCs w:val="13"/>
                <w:color w:val="auto"/>
              </w:rPr>
              <w:t>Net loss</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(1,889)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(1,889)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Foreign currency translation</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adjustment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3"/>
                <w:szCs w:val="13"/>
                <w:color w:val="auto"/>
              </w:rPr>
              <w:t>Balance as of December 31, 2020</w:t>
            </w: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60" w:type="dxa"/>
            <w:vAlign w:val="bottom"/>
            <w:vMerge w:val="continue"/>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1,372,970</w:t>
            </w:r>
          </w:p>
        </w:tc>
        <w:tc>
          <w:tcPr>
            <w:tcW w:w="10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8,454</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700,278</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7,680</w:t>
            </w:r>
          </w:p>
        </w:tc>
        <w:tc>
          <w:tcPr>
            <w:tcW w:w="100" w:type="dxa"/>
            <w:vAlign w:val="bottom"/>
            <w:tcBorders>
              <w:right w:val="single" w:sz="8" w:color="auto"/>
            </w:tcBorders>
          </w:tcPr>
          <w:p>
            <w:pPr>
              <w:spacing w:after="0"/>
              <w:rPr>
                <w:sz w:val="13"/>
                <w:szCs w:val="1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color w:val="auto"/>
              </w:rPr>
              <w:t>910,160</w:t>
            </w:r>
          </w:p>
        </w:tc>
        <w:tc>
          <w:tcPr>
            <w:tcW w:w="340" w:type="dxa"/>
            <w:vAlign w:val="bottom"/>
          </w:tcPr>
          <w:p>
            <w:pPr>
              <w:jc w:val="right"/>
              <w:ind w:right="224"/>
              <w:spacing w:after="0"/>
              <w:rPr>
                <w:sz w:val="20"/>
                <w:szCs w:val="20"/>
                <w:color w:val="auto"/>
              </w:rPr>
            </w:pPr>
            <w:r>
              <w:rPr>
                <w:rFonts w:ascii="Arial" w:cs="Arial" w:eastAsia="Arial" w:hAnsi="Arial"/>
                <w:sz w:val="10"/>
                <w:szCs w:val="10"/>
                <w:color w:val="auto"/>
                <w:w w:val="71"/>
              </w:rPr>
              <w:t>$</w:t>
            </w:r>
          </w:p>
        </w:tc>
        <w:tc>
          <w:tcPr>
            <w:tcW w:w="240" w:type="dxa"/>
            <w:vAlign w:val="bottom"/>
            <w:gridSpan w:val="2"/>
          </w:tcPr>
          <w:p>
            <w:pPr>
              <w:jc w:val="right"/>
              <w:ind w:right="100"/>
              <w:spacing w:after="0"/>
              <w:rPr>
                <w:sz w:val="20"/>
                <w:szCs w:val="20"/>
                <w:color w:val="auto"/>
              </w:rPr>
            </w:pPr>
            <w:r>
              <w:rPr>
                <w:rFonts w:ascii="Arial" w:cs="Arial" w:eastAsia="Arial" w:hAnsi="Arial"/>
                <w:sz w:val="13"/>
                <w:szCs w:val="13"/>
                <w:color w:val="auto"/>
                <w:w w:val="91"/>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(6,471)</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(6,360)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-2322195</wp:posOffset>
            </wp:positionV>
            <wp:extent cx="342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-2159635</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9"/>
        </w:trPr>
        <w:tc>
          <w:tcPr>
            <w:tcW w:w="9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11"/>
        </w:trPr>
        <w:tc>
          <w:tcPr>
            <w:tcW w:w="96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2019</w:t>
            </w:r>
          </w:p>
        </w:tc>
        <w:tc>
          <w:tcPr>
            <w:tcW w:w="3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(1,346)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(1,889)</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323"/>
        </w:trPr>
        <w:tc>
          <w:tcPr>
            <w:tcW w:w="964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9640" w:type="dxa"/>
            <w:vAlign w:val="bottom"/>
          </w:tcPr>
          <w:p>
            <w:pPr>
              <w:ind w:left="880"/>
              <w:spacing w:after="0"/>
              <w:rPr>
                <w:sz w:val="20"/>
                <w:szCs w:val="20"/>
                <w:color w:val="auto"/>
              </w:rPr>
            </w:pPr>
            <w:r>
              <w:rPr>
                <w:rFonts w:ascii="Arial" w:cs="Arial" w:eastAsia="Arial" w:hAnsi="Arial"/>
                <w:sz w:val="18"/>
                <w:szCs w:val="18"/>
                <w:color w:val="auto"/>
              </w:rPr>
              <w:t>Prepaids and other current assets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ind w:left="880"/>
              <w:spacing w:after="0"/>
              <w:rPr>
                <w:sz w:val="20"/>
                <w:szCs w:val="20"/>
                <w:color w:val="auto"/>
              </w:rPr>
            </w:pPr>
            <w:r>
              <w:rPr>
                <w:rFonts w:ascii="Arial" w:cs="Arial" w:eastAsia="Arial" w:hAnsi="Arial"/>
                <w:sz w:val="18"/>
                <w:szCs w:val="18"/>
                <w:color w:val="auto"/>
              </w:rPr>
              <w:t>Accounts payable related party</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(1,652)</w:t>
            </w:r>
          </w:p>
        </w:tc>
        <w:tc>
          <w:tcPr>
            <w:tcW w:w="0" w:type="dxa"/>
            <w:vAlign w:val="bottom"/>
          </w:tcPr>
          <w:p>
            <w:pPr>
              <w:spacing w:after="0"/>
              <w:rPr>
                <w:sz w:val="1"/>
                <w:szCs w:val="1"/>
                <w:color w:val="auto"/>
              </w:rPr>
            </w:pPr>
          </w:p>
        </w:tc>
      </w:tr>
      <w:tr>
        <w:trPr>
          <w:trHeight w:val="217"/>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9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form issuance of Series A-2 convertible preferred stock, net of issuance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3,491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financing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Series A-2 convertible preferred stock issuance costs included in 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Series A-2 convertible preferred stock warrants included in issuance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Deemed dividend on Class A and B stock conversion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financials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96" w:lineRule="exact"/>
        <w:rPr>
          <w:sz w:val="20"/>
          <w:szCs w:val="20"/>
          <w:color w:val="auto"/>
        </w:rPr>
      </w:pPr>
    </w:p>
    <w:p>
      <w:pPr>
        <w:ind w:right="640" w:firstLine="449"/>
        <w:spacing w:after="0" w:line="331" w:lineRule="auto"/>
        <w:rPr>
          <w:sz w:val="20"/>
          <w:szCs w:val="20"/>
          <w:color w:val="auto"/>
        </w:rPr>
      </w:pPr>
      <w:r>
        <w:rPr>
          <w:rFonts w:ascii="Arial" w:cs="Arial" w:eastAsia="Arial" w:hAnsi="Arial"/>
          <w:sz w:val="16"/>
          <w:szCs w:val="16"/>
          <w:color w:val="auto"/>
        </w:rPr>
        <w:t>PepGen Inc., or the Company or PepGen, headquartered in Boston, Massachusetts, is a biopharmaceutical company developing a transformative oligonucleotide delivery technology to treat neuromuscular and neurologic diseases with a high unmet medical need.</w:t>
      </w:r>
    </w:p>
    <w:p>
      <w:pPr>
        <w:spacing w:after="0" w:line="87" w:lineRule="exact"/>
        <w:rPr>
          <w:sz w:val="20"/>
          <w:szCs w:val="20"/>
          <w:color w:val="auto"/>
        </w:rPr>
      </w:pPr>
    </w:p>
    <w:p>
      <w:pPr>
        <w:ind w:right="20" w:firstLine="449"/>
        <w:spacing w:after="0" w:line="312" w:lineRule="auto"/>
        <w:rPr>
          <w:sz w:val="20"/>
          <w:szCs w:val="20"/>
          <w:color w:val="auto"/>
        </w:rPr>
      </w:pPr>
      <w:r>
        <w:rPr>
          <w:rFonts w:ascii="Arial" w:cs="Arial" w:eastAsia="Arial" w:hAnsi="Arial"/>
          <w:sz w:val="15"/>
          <w:szCs w:val="15"/>
          <w:color w:val="auto"/>
        </w:rPr>
        <w:t>The Company was initially formed as PepGen Limited on January 25, 2018, in the United Kingdom, or the UK. On November 9, 2020, PepGen Limited completed a corporate reorganization, or the Reorganization. As part of the Reorganization, PepGen Limited formed PepGen Inc., a Delaware corporation with nominal assets and liabilities, for the purpose of consummating the Reorganization. In connection with the Reorganization, the existing stockholders of PepGen Limited exchanged each of its classes of shares of PepGen Limited for the same number and class of common stock of PepGen Inc. on a one-to-one basis. The newly issued stock of PepGen Inc. had substantially identical rights to the exchanged shares of PepGen Limited. As a result of the exchange, PepGen Inc. became the sole stockholder of PepGen Limited. Upon the completion of the Reorganization on November 23, 2020, the historical financial statements of PepGen Limited became the historical financial statements of PepGen Inc. as the Reorganization was deemed to be between entities under common control.</w:t>
      </w:r>
    </w:p>
    <w:p>
      <w:pPr>
        <w:spacing w:after="0" w:line="10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On November 24, 2020, the Company entered into a Series A Preferred Stock and Warrant Purchase Agreement, or the Stock Purchase Agreement. In connection with executing the Stock Purchase Agreement, the Company also amended and restated its certificate of incorporation, or the Restated Certificate of Incorporation. In accordance with the terms of the Stock Purchase Agreement, the Company agreed to issue an aggregate of 3,939,069 shares of Series A-2 convertible preferred stock to new and existing investors at a price of $11.42 per share, in three closings, and elected to convert 1,372,970 shares of outstanding Class A and Class B common stock into shares of Series A-1 convertible preferred stock. A total of 1,051,720 shares of Class A common stock held by certain investors and employees were not modified and continue to exist as Class A common stock. See Note 8 “</w:t>
      </w:r>
      <w:r>
        <w:rPr>
          <w:rFonts w:ascii="Arial" w:cs="Arial" w:eastAsia="Arial" w:hAnsi="Arial"/>
          <w:sz w:val="16"/>
          <w:szCs w:val="16"/>
          <w:i w:val="1"/>
          <w:iCs w:val="1"/>
          <w:color w:val="auto"/>
        </w:rPr>
        <w:t>Convertible Preferred Stock and 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for further discussion.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90"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Since inception, the Company has not generated any revenue from product sales or other sources and has incurred significant operating losses and negative cash flows from operations. The Company’s primary uses of cash to date have been to fund research and development activities, business planning, establishing and maintaining the Company’s intellectual property portfolio, hiring personnel, raising capital, and providing general and administrative support for these operations. As of December 31, 2020, the Company had an accumulated deficit of $6.5 million. To date, the Company has funded operations primarily through private placements of convertible preferred stock. As of December 31, 2020, the Company had raised aggregate gross proceeds of $14.4 million from these private placements and had cash of $9.8 million.</w:t>
      </w:r>
    </w:p>
    <w:p>
      <w:pPr>
        <w:spacing w:after="0" w:line="12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The accompanying consolidated financial statements have been prepared on a going concern basis, which contemplates the realization of assets and the satisfaction of liabilities and commitments in the normal course of business. The Company believes that its existing cash as well as the net proceeds received in connection with its Series A and Series B Stock Purchase Agreements (see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offset by cash used for continued capital expenditures and operating expenses, will be sufficient to allow the Company to fund operations for at least one year from the issuance date of these consolidated financial statements.</w:t>
      </w:r>
    </w:p>
    <w:p>
      <w:pPr>
        <w:spacing w:after="0" w:line="147"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As the Company continues to pursue its business plan to successfully develop and obtain regulatory approval for the Company’s product candidates, it expects to finance its operations through the sale of equity, debt financings or other capital resources, which could include income from collaborations, strategic partnerships or marketing, distribution, licensing or other strategic arrangements with third parties, or from grants. However, there can be no assurance that any additional financing or strategic transactions will be available to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on acceptable terms, if at all. If events or circumstances occur such that the Company does not obtain additional funding, it may need to delay, reduce or eliminate its product development or future commercialization efforts, which could have a material adverse effect on the Company’s business, results of operations or financial condition.</w:t>
      </w:r>
    </w:p>
    <w:p>
      <w:pPr>
        <w:spacing w:after="0" w:line="215" w:lineRule="exact"/>
        <w:rPr>
          <w:sz w:val="20"/>
          <w:szCs w:val="20"/>
          <w:color w:val="auto"/>
        </w:rPr>
      </w:pPr>
    </w:p>
    <w:p>
      <w:pPr>
        <w:ind w:right="7760" w:firstLine="8"/>
        <w:spacing w:after="0" w:line="417" w:lineRule="auto"/>
        <w:tabs>
          <w:tab w:leader="none" w:pos="175"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Consolidation</w:t>
      </w:r>
    </w:p>
    <w:p>
      <w:pPr>
        <w:spacing w:after="0" w:line="1" w:lineRule="exact"/>
        <w:rPr>
          <w:sz w:val="20"/>
          <w:szCs w:val="20"/>
          <w:color w:val="auto"/>
        </w:rPr>
      </w:pPr>
    </w:p>
    <w:p>
      <w:pPr>
        <w:ind w:firstLine="449"/>
        <w:spacing w:after="0" w:line="306"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or U.S. GAAP. The consolidated financial statements include the accounts of PepGen Inc. (a U.S. Corporation) and its wholly owned subsidiary PepGen Limited (a UK corporation). All intercompany accounts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Management bases its estimates and judgments on historical experience, knowledge of current conditions, and beliefs of what could occur in the future, given the available information. On an ongoing basis, management evaluates such estimates and assumptions for continued reasonableness. In particular, management makes estimates with respect to accruals for research and development activities, for the fair value of common stock and convertible preferred stock warrants and stock-based compensation expense. Appropriate adjustments, if any, to the estimates used are made prospectively based upon such periodic evaluation. Actual results could differ materially from those estimates and assumptions.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 or the CODM. The Company’s CODM is its chief executive officer who reviews financial information together with certain operating metrics principally to make decisions about how to allocate resources and to measure the Company’s performance. The Company has determined that it operates as a single reportable segment. The Company’s CODM evaluates financial information on a consolidated basis. As the Company operates as one operating segment, all required segment financial information is presented in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Remeasurement</w:t>
      </w:r>
    </w:p>
    <w:p>
      <w:pPr>
        <w:spacing w:after="0" w:line="90"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The Company’s reporting currency is the U.S. Dollar. The functional currency of PepGen Limited is the British Pound. The assets and liabilities of PepGen Limited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loss in stockholders’ equity (deficit).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primarily of cash. The Company’s cash is held by one financial institution in the U.S. and one financial institution in the UK, which the Company believes to be financially sound, and accordingly, minimal credit risk exists with respect to the financial institutions. At times, the Company’s deposits held in the U.S. and UK may exceed the Federal Depository Insurance Corporation and Financial Services Compensation Scheme, respectively, insured limits. The Company has not experienced any credit losses in such accounts and does not believe it is exposed to any significant credit risk on these funds.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9"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90"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The Company capitalizes within other long-term assets certain legal, accounting, and other third- party fees that are directly related to the Company’s in-process equity financings,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 Company did not have any deferred offering costs as of December 31, 2019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100" w:firstLine="449"/>
        <w:spacing w:after="0" w:line="294"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34" w:lineRule="exact"/>
        <w:rPr>
          <w:sz w:val="20"/>
          <w:szCs w:val="20"/>
          <w:color w:val="auto"/>
        </w:rPr>
      </w:pPr>
    </w:p>
    <w:p>
      <w:pPr>
        <w:ind w:left="880" w:right="20" w:hanging="427"/>
        <w:spacing w:after="0" w:line="268"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1: Fair values are determined utilizing prices (unadjusted) in active markets for identical assets or liabilities that the Company has the ability to access.</w:t>
      </w:r>
    </w:p>
    <w:p>
      <w:pPr>
        <w:spacing w:after="0" w:line="50" w:lineRule="exact"/>
        <w:rPr>
          <w:rFonts w:ascii="Arial" w:cs="Arial" w:eastAsia="Arial" w:hAnsi="Arial"/>
          <w:sz w:val="18"/>
          <w:szCs w:val="18"/>
          <w:color w:val="auto"/>
        </w:rPr>
      </w:pPr>
    </w:p>
    <w:p>
      <w:pPr>
        <w:ind w:left="880" w:right="40" w:hanging="427"/>
        <w:spacing w:after="0" w:line="259"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58" w:lineRule="exact"/>
        <w:rPr>
          <w:rFonts w:ascii="Arial" w:cs="Arial" w:eastAsia="Arial" w:hAnsi="Arial"/>
          <w:sz w:val="18"/>
          <w:szCs w:val="18"/>
          <w:color w:val="auto"/>
        </w:rPr>
      </w:pPr>
    </w:p>
    <w:p>
      <w:pPr>
        <w:ind w:left="880" w:right="380" w:hanging="427"/>
        <w:spacing w:after="0" w:line="268"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32"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For certain financial instruments, including prepaid expenses, accounts payable, as well as certain accrued liabilities, the recorded amount approximates estimated fair value due to their relatively short maturity period. See Note 3 “Fair Value of Financial Instrument” for preferred stock warrant liability fair value measurement considerations.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represents funds in the Company’s operating bank account. The Company has no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90"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Depreciation of property and equipment is calculated using the straight-line method over the estimated useful lives of the respective assets. Maintenance and repairs that do not improve or extend the life of the assets are expensed when incurred.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of the Company’s property and equipment are as follows:</w:t>
      </w:r>
    </w:p>
    <w:p>
      <w:pPr>
        <w:sectPr>
          <w:pgSz w:w="11900" w:h="16838" w:orient="portrait"/>
          <w:cols w:equalWidth="0" w:num="1">
            <w:col w:w="11220"/>
          </w:cols>
          <w:pgMar w:left="320" w:top="459" w:right="3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Laboratory and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34" w:lineRule="exact"/>
        <w:rPr>
          <w:sz w:val="20"/>
          <w:szCs w:val="20"/>
          <w:color w:val="auto"/>
        </w:rPr>
      </w:pPr>
    </w:p>
    <w:p>
      <w:pPr>
        <w:sectPr>
          <w:pgSz w:w="11900" w:h="16838" w:orient="portrait"/>
          <w:cols w:equalWidth="0" w:num="2">
            <w:col w:w="9840" w:space="720"/>
            <w:col w:w="660"/>
          </w:cols>
          <w:pgMar w:left="320" w:top="459" w:right="35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jc w:val="both"/>
        <w:ind w:right="220" w:firstLine="449"/>
        <w:spacing w:after="0" w:line="306" w:lineRule="auto"/>
        <w:rPr>
          <w:sz w:val="20"/>
          <w:szCs w:val="20"/>
          <w:color w:val="auto"/>
        </w:rPr>
      </w:pPr>
      <w:r>
        <w:rPr>
          <w:rFonts w:ascii="Arial" w:cs="Arial" w:eastAsia="Arial" w:hAnsi="Arial"/>
          <w:sz w:val="16"/>
          <w:szCs w:val="16"/>
          <w:color w:val="auto"/>
        </w:rPr>
        <w:t>The Company reviews long-lived assets for impairment whenever events or changes in circumstances indicate that the carrying amount of an asset or asset group may not be recoverable. The recoverability of assets to be held and used is measured by a comparison of the carrying amount of an asset or asset group to the estimated undiscounted future cash flows expected to be generated by the asset or asset group.</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the carrying amount of an asset or asset group exceeds its estimated undiscounted future cash flows, an impairment charge is recognized as the amount by which the carrying amount of the asset or asset group exceeds the estimated discounted future cash flows of the asset or asset group. There have been no such impairments of long-lived assets for the years ended December 31, 2019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and Contingencies</w:t>
      </w:r>
    </w:p>
    <w:p>
      <w:pPr>
        <w:spacing w:after="0" w:line="90"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December 31, 2019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90"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The Company records convertible preferred stock at fair value on the dates of issuance, net of issuance costs. Upon the occurrence of certain events that are outside the Company’s control, including a deemed liquidation event, holders of the convertible preferred stock can cause redemption for cash. Therefore, convertible preferred stock is classified outside of stockholders’ equity (deficit) on the consolidated balance sheets as events triggering the liquidation preferences are not solely within the Company’s control. The carrying values of the convertible preferred stock are adjusted to their liquidation preferences if and when it becomes probable that such a liquidation event will occur.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90" w:lineRule="exact"/>
        <w:rPr>
          <w:sz w:val="20"/>
          <w:szCs w:val="20"/>
          <w:color w:val="auto"/>
        </w:rPr>
      </w:pPr>
    </w:p>
    <w:p>
      <w:pPr>
        <w:ind w:right="380" w:firstLine="449"/>
        <w:spacing w:after="0" w:line="259" w:lineRule="auto"/>
        <w:rPr>
          <w:sz w:val="20"/>
          <w:szCs w:val="20"/>
          <w:color w:val="auto"/>
        </w:rPr>
      </w:pPr>
      <w:r>
        <w:rPr>
          <w:rFonts w:ascii="Arial" w:cs="Arial" w:eastAsia="Arial" w:hAnsi="Arial"/>
          <w:sz w:val="18"/>
          <w:szCs w:val="18"/>
          <w:color w:val="auto"/>
        </w:rPr>
        <w:t>The Company has classified warrants to purchase its Series A-2 convertible preferred stock as a liability on the consolidated balance sheets as these warrants are freestanding financial instruments that could require the Company to transfer assets upon exercise (see Note 3 “</w:t>
      </w:r>
      <w:r>
        <w:rPr>
          <w:rFonts w:ascii="Arial" w:cs="Arial" w:eastAsia="Arial" w:hAnsi="Arial"/>
          <w:sz w:val="18"/>
          <w:szCs w:val="18"/>
          <w:i w:val="1"/>
          <w:iCs w:val="1"/>
          <w:color w:val="auto"/>
        </w:rPr>
        <w:t>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Funding Agreements</w:t>
      </w:r>
    </w:p>
    <w:p>
      <w:pPr>
        <w:spacing w:after="0" w:line="90" w:lineRule="exact"/>
        <w:rPr>
          <w:sz w:val="20"/>
          <w:szCs w:val="20"/>
          <w:color w:val="auto"/>
        </w:rPr>
      </w:pPr>
    </w:p>
    <w:p>
      <w:pPr>
        <w:ind w:right="260" w:firstLine="449"/>
        <w:spacing w:after="0" w:line="298" w:lineRule="auto"/>
        <w:rPr>
          <w:sz w:val="20"/>
          <w:szCs w:val="20"/>
          <w:color w:val="auto"/>
        </w:rPr>
      </w:pPr>
      <w:r>
        <w:rPr>
          <w:rFonts w:ascii="Arial" w:cs="Arial" w:eastAsia="Arial" w:hAnsi="Arial"/>
          <w:sz w:val="16"/>
          <w:szCs w:val="16"/>
          <w:color w:val="auto"/>
        </w:rPr>
        <w:t>Funding provided from grants is recognized as a reduction of research and development expense in the period during which the related qualifying expenses are incurred, provided that the conditions under which the grants or incentives were provided have been met. Grant funding that is received by the Company in advance of incurring qualifying expenses is recorded in the consolidated balance sheets as a liability. Grant funding recognized upon incurring qualifying expenses in advance of receipt of grant funding is presented in the consolidated balance sheets as an other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Research and development costs are expensed as incurred. Research and development costs consist of salaries, benefits, and other personnel related costs, including stock-based compensation, laboratory supplies, process development costs, fees paid to other entities to conduct certain research and development activities on the Company’s behalf, including contract manufacturing organizations and contract research organizations, and allocated facility and other related costs. Non-refundable advance payments for goods or services that will be used or rendered for future research and development activities are deferred and capitalized as prepaid expenses until the related goods are delivered or services are performed.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320" w:top="459" w:right="3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years ended December 31, 2019 and 2020, the Company has not experienced any material differences between accrued and actual costs incurred.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90"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Due to the absence of an active market for the Company’s common stock, the Company utilized methodologies, approaches and assumptions consistent with the American Institute of Certified Public Accountants’ Audit and Accounting Practice Guide: Valuation of Privately-Held Company Equity Securities Issued as Compensation to estimate the fair value of its common stock. In determining the exercise prices for options granted, the Company has considered the fair value of the common stock as of the grant date. The fair value of the common stock has been determined based upon a variety of factors, including valuations of the Company’s common stock performed with the assistance of independent third-party valuation specialists; the Company’s stage of development and business strategy, including the status of research and development efforts of its product candidates, and the material risks related to its business and industry; the Company’s business conditions and projections; the Company’s results of operations and financial position, including its levels of available capital resources; the valuation of publicly traded companies in the life sciences and biotechnology sectors, as well as recently completed mergers and acquisitions of peer companies; the lack of marketability of the Company’s common stock as a private company; the prices of the Company’s convertible preferred stock sold to investors in arm’s length transactions and the rights, preferences and privileges of its convertible preferred stock relative to those of its common stock; the likelihood of achieving a liquidity event for the holders of the Company’s common stock, such as an initial public offering or a sale of the Company given prevailing market conditions; trends and developments in its industry; the hiring of key personnel and the experience of management; and external market conditions affecting the life sciences and biotechnology industry sectors. Significant changes to the key assumptions underlying the factors used could result in different fair values of common stock at each valuation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The Company recognizes stock-based compensation expense for employee, officer, director and non-employee stock options and restricted stock awards on a straight-line basis over the requisite service period. The Company accounts for forfeitures as they occur.</w:t>
      </w:r>
    </w:p>
    <w:p>
      <w:pPr>
        <w:spacing w:after="0" w:line="132"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3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Income taxes are accounted for using the asset and liability method. Deferred tax assets and liabilities are recognized for the future tax consequences attributable to differences between the financial statement carrying amounts or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w:t>
      </w:r>
    </w:p>
    <w:p>
      <w:pPr>
        <w:spacing w:after="0" w:line="115"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90"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Comprehensive loss is composed of two components — net loss and other comprehensive income (loss). Other comprehensive income (loss) refers to gains and losses that under U.S. GAAP are recorded as an element of stockholders’ equity but are excluded from net loss. The Company’s other comprehensive income (loss) consists of foreign currency translation adjustments.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90" w:lineRule="exact"/>
        <w:rPr>
          <w:sz w:val="20"/>
          <w:szCs w:val="20"/>
          <w:color w:val="auto"/>
        </w:rPr>
      </w:pPr>
    </w:p>
    <w:p>
      <w:pPr>
        <w:ind w:right="60" w:firstLine="449"/>
        <w:spacing w:after="0" w:line="256"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weighted-average number of shares of common stock outstanding for the period, without consideration of potential dilutive securities. Diluted net loss per share is computed by dividing the net loss attributable to common stockholders by the sum of the weighted average number of common shares plus the potential dilutive effects of potential dilutive securities outstanding during the period.</w:t>
      </w:r>
    </w:p>
    <w:p>
      <w:pPr>
        <w:spacing w:after="0" w:line="143"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Potential dilutive securities are excluded from diluted earnings or loss per share if the effect of such inclusion is antidilutive. The Company’s potentially dilutive securities, which include convertible preferred stock and unvested common stock under the Company’s equity incentive plan, vesting conditions placed on previously issued common shares and warrants to purchase convertible preferred stock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115" w:lineRule="exact"/>
        <w:rPr>
          <w:sz w:val="20"/>
          <w:szCs w:val="20"/>
          <w:color w:val="auto"/>
        </w:rPr>
      </w:pPr>
    </w:p>
    <w:p>
      <w:pPr>
        <w:ind w:right="540" w:firstLine="449"/>
        <w:spacing w:after="0" w:line="268"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80" w:type="dxa"/>
            <w:vAlign w:val="bottom"/>
          </w:tcPr>
          <w:p>
            <w:pPr>
              <w:spacing w:after="0"/>
              <w:rPr>
                <w:sz w:val="19"/>
                <w:szCs w:val="19"/>
                <w:color w:val="auto"/>
              </w:rPr>
            </w:pPr>
          </w:p>
        </w:tc>
        <w:tc>
          <w:tcPr>
            <w:tcW w:w="176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As of December 31,</w:t>
            </w:r>
          </w:p>
        </w:tc>
      </w:tr>
      <w:tr>
        <w:trPr>
          <w:trHeight w:val="211"/>
        </w:trPr>
        <w:tc>
          <w:tcPr>
            <w:tcW w:w="9480" w:type="dxa"/>
            <w:vAlign w:val="bottom"/>
          </w:tcPr>
          <w:p>
            <w:pPr>
              <w:spacing w:after="0"/>
              <w:rPr>
                <w:sz w:val="18"/>
                <w:szCs w:val="18"/>
                <w:color w:val="auto"/>
              </w:rPr>
            </w:pPr>
          </w:p>
        </w:tc>
        <w:tc>
          <w:tcPr>
            <w:tcW w:w="5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2019</w:t>
            </w:r>
          </w:p>
        </w:tc>
        <w:tc>
          <w:tcPr>
            <w:tcW w:w="116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210"/>
        </w:trPr>
        <w:tc>
          <w:tcPr>
            <w:tcW w:w="9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A-1 convertible preferred stock</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1,372,970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Series A-2 convertible preferred stock</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700,278</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Series A-2 convertible preferred stock warrants</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35,529</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Vesting conditions placed on previously issued common shares</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141,560</w:t>
            </w:r>
          </w:p>
        </w:tc>
      </w:tr>
      <w:tr>
        <w:trPr>
          <w:trHeight w:val="27"/>
        </w:trPr>
        <w:tc>
          <w:tcPr>
            <w:tcW w:w="9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2,250,337</w:t>
            </w:r>
          </w:p>
        </w:tc>
      </w:tr>
      <w:tr>
        <w:trPr>
          <w:trHeight w:val="20"/>
        </w:trPr>
        <w:tc>
          <w:tcPr>
            <w:tcW w:w="9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90" w:lineRule="exact"/>
        <w:rPr>
          <w:sz w:val="20"/>
          <w:szCs w:val="20"/>
          <w:color w:val="auto"/>
        </w:rPr>
      </w:pPr>
    </w:p>
    <w:p>
      <w:pPr>
        <w:ind w:right="520" w:firstLine="449"/>
        <w:spacing w:after="0" w:line="268" w:lineRule="auto"/>
        <w:rPr>
          <w:sz w:val="20"/>
          <w:szCs w:val="20"/>
          <w:color w:val="auto"/>
        </w:rPr>
      </w:pPr>
      <w:r>
        <w:rPr>
          <w:rFonts w:ascii="Arial" w:cs="Arial" w:eastAsia="Arial" w:hAnsi="Arial"/>
          <w:sz w:val="18"/>
          <w:szCs w:val="18"/>
          <w:color w:val="auto"/>
        </w:rPr>
        <w:t>The Company is an “emerging growth company,” as defined in the Jumpstart Our Business Startups Act, or JOBS Act, and may take advantage of certain exemptions from various reporting requirements that are applicable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80" w:firstLine="449"/>
        <w:spacing w:after="0" w:line="314" w:lineRule="auto"/>
        <w:rPr>
          <w:sz w:val="20"/>
          <w:szCs w:val="20"/>
          <w:color w:val="auto"/>
        </w:rPr>
      </w:pPr>
      <w:r>
        <w:rPr>
          <w:rFonts w:ascii="Arial" w:cs="Arial" w:eastAsia="Arial" w:hAnsi="Arial"/>
          <w:sz w:val="15"/>
          <w:szCs w:val="15"/>
          <w:color w:val="auto"/>
        </w:rPr>
        <w:t>In February 2016, the FASB issued ASU 2016-02, Leases (Topic 842), The amendment relates to leases to increase transparency and comparability among organizations by requiring the recognition of right-of-use, or the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consolidated financial statements to assess the amount, timing, and uncertainty of cash flows arising from leases. The effective date of this update is for fiscal years beginning after December 15, 2021, and interim periods therein. The Company is currently assessing the impact of adopting this standard on the Company’s consolidated financial statements and related disclosures.</w:t>
      </w:r>
    </w:p>
    <w:p>
      <w:pPr>
        <w:spacing w:after="0" w:line="104"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The standard changes how entities will measure credit losses for most financial assets, including accounts and notes receivables. The standard will replace today’s “incurred loss” approach with an “expected loss” model, under which companies will recognize allowances based on expected rather than incurred losses. Entities will apply the standard’s provisions as a cumulative-effect adjustment to retained earnings as of the beginning of the first reporting period in which the guidance is effective. The effective date of this update is for fiscal years beginning after December 15, 2022, and interim periods therein. The Company is currently assessing the impact of adopting this standard on the Company’s consolidated financial statements and related disclosures.</w:t>
      </w:r>
    </w:p>
    <w:p>
      <w:pPr>
        <w:spacing w:after="0" w:line="12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The standard eliminates, modifies, and adds disclosure requirements on fair value measurements. The standard is effective for annual periods beginning after December 15, 2019, including interim periods within those fiscal years, and early adoption is permitted. The Company adopted this guidance effective on January 1, 2019, and the adoption of the standard did not have a material impact on the Company’s combined financial statement disclosures.</w:t>
      </w:r>
    </w:p>
    <w:p>
      <w:pPr>
        <w:spacing w:after="0" w:line="147"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In November 2019, the FASB issued ASU 2019-11, Codification Improvements to Topic 326, Financial Instruments—Credit Losses. The standard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2022, and interim periods within those fiscal years. The Company is currently evaluating ASU 2016-13 and ASU 2019-11 and their impact on its consolidated financial statements and financial statement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In December 2019, the FASB issued ASU No. 2019-12, Income Taxes (Topic 740). The standard simplifies the Accounting for Income Taxes. The standard simplifies the accounting for income taxes by removing certain exceptions to the general principles in Topic 740 and also improves consistent application by clarifying and amending existing guidance. The standard is effective for fiscal years beginning after December 15, 2021, and interim periods within fiscal years beginning after December 15, 2022. The Company is assessing the impact of this guidance and is continuing to evaluate the impact on its consolidated financial statements.</w:t>
      </w:r>
    </w:p>
    <w:p>
      <w:pPr>
        <w:spacing w:after="0" w:line="147"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In August 2020, the FASB issued ASU no 2020-06, Debt—Debt with Conversion and Other Options (Subtopic 470-20) and Derivatives and Hedging— Contracts in Entity’s Own Equity (Subtopic 815-40). The standard address issues identified as a result of the complexity associated with applying U.S. GAAP for certain financial instruments with characteristics of liabilities and equity. The standard reduces the number of accounting models for convertible debt instruments and convertible preferred stock resulting in fewer embedded conversion features being separately recognized from the host contract. The standard is effective for public companies, excluding entities eligible to be smaller reporting companies, for fiscal years beginning after December 15, 2021, including interim periods within those fiscal years. For all other entities, the amendments are effective for fiscal years beginning after December 15, 2023, including interim periods within those fiscal years. Early adoption is permitted, but no earlier than fiscal years beginning after December 15, 2020, including interim periods within those fiscal years. The Board specified that an entity should adopt the guidance as of the beginning of its annual fiscal year. The Company is assessing the impact of this guidance and is continuing to evaluate the impact on its consolidated financial statements.</w:t>
      </w:r>
    </w:p>
    <w:p>
      <w:pPr>
        <w:spacing w:after="0" w:line="194" w:lineRule="exact"/>
        <w:rPr>
          <w:sz w:val="20"/>
          <w:szCs w:val="20"/>
          <w:color w:val="auto"/>
        </w:rPr>
      </w:pPr>
    </w:p>
    <w:p>
      <w:pPr>
        <w:ind w:right="8360" w:firstLine="8"/>
        <w:spacing w:after="0" w:line="391" w:lineRule="auto"/>
        <w:tabs>
          <w:tab w:leader="none" w:pos="175"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b w:val="1"/>
          <w:bCs w:val="1"/>
          <w:i w:val="1"/>
          <w:iCs w:val="1"/>
          <w:color w:val="auto"/>
        </w:rPr>
        <w:t>Preferred stock warrant liability</w:t>
      </w:r>
    </w:p>
    <w:p>
      <w:pPr>
        <w:spacing w:after="0" w:line="1"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In connection with the November 24, 2020 Stock Purchase Agreement (Note 8), the Company granted warrants to purchase up to 35,529 shares of Series A-2 convertible preferred stock at a price per share equal to $11.42 and with a term ending upon the earlier of an underwritten public offering pursuant to an effective registration statement under the Securities Act of 1933, the consummation of a Deemed Liquidation Event, as such term is defined in the Company’s Restated Certificate of Incorporation or 10 years. As the warrants are for preferred stock, which do not qualify for equity classification, the warrants have been recorded as a liability and are required to be remeasured to fair value at each reporting date.</w:t>
      </w:r>
    </w:p>
    <w:p>
      <w:pPr>
        <w:spacing w:after="0" w:line="115" w:lineRule="exact"/>
        <w:rPr>
          <w:sz w:val="20"/>
          <w:szCs w:val="20"/>
          <w:color w:val="auto"/>
        </w:rPr>
      </w:pPr>
    </w:p>
    <w:p>
      <w:pPr>
        <w:ind w:right="480" w:firstLine="449"/>
        <w:spacing w:after="0" w:line="259" w:lineRule="auto"/>
        <w:rPr>
          <w:sz w:val="20"/>
          <w:szCs w:val="20"/>
          <w:color w:val="auto"/>
        </w:rPr>
      </w:pPr>
      <w:r>
        <w:rPr>
          <w:rFonts w:ascii="Arial" w:cs="Arial" w:eastAsia="Arial" w:hAnsi="Arial"/>
          <w:sz w:val="18"/>
          <w:szCs w:val="18"/>
          <w:color w:val="auto"/>
        </w:rPr>
        <w:t>As there are significant inputs that are not observable in the market, the warrant valuation represents a Level 3 measurement within the fair value hierarchy. The Company’s valuation of the preferred stock warrant utilized the Black-Scholes option-pricing model, which incorporates assumptions and estimates to value the preferred stock warrant.</w:t>
      </w:r>
    </w:p>
    <w:p>
      <w:pPr>
        <w:spacing w:after="0" w:line="14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quantitative elements associated with the Company’s Level 3 inputs impacting the fair value measurement of the preferred stock warrant liability include the fair value per share of the underlying Series A-2 convertible preferred stock, the remaining contractual term of the warrant, risk-free interest rate, expected dividend yield and expected volatility of the price of the underlying preferred stock. The most significant assumption in the Black-Scholes option-pricing model impacting the fair value of the preferred stock warrant is the fair value of the Company’s Series A-2 convertible preferred stock as of each remeasurement date. The Company determines the fair value per share of the underlying preferred stock by taking into consideration its most recent sales of its convertible preferred stock.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The Company has estimated a 0% dividend yield based on the expected dividend yield and the fact that the Company has never paid or declared dividends.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9" w:right="3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00" w:firstLine="449"/>
        <w:spacing w:after="0" w:line="256" w:lineRule="auto"/>
        <w:rPr>
          <w:sz w:val="20"/>
          <w:szCs w:val="20"/>
          <w:color w:val="auto"/>
        </w:rPr>
      </w:pPr>
      <w:r>
        <w:rPr>
          <w:rFonts w:ascii="Arial" w:cs="Arial" w:eastAsia="Arial" w:hAnsi="Arial"/>
          <w:sz w:val="18"/>
          <w:szCs w:val="18"/>
          <w:color w:val="auto"/>
        </w:rPr>
        <w:t>The Company recognizes changes in the fair value of the warrant liability as a component of other income (expense) in its consolidated statements of operations and comprehensive loss. The Company will continue to recognize changes in the fair value of the warrant liability until the warrant is exercised, expires, or qualifies for equity classification. No changes were recognized from the date of issuance, November 24, 2020, through December 31, 2020, primarily due to the short duration of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Level 3 warrant liability is as follows (in thousands):</w:t>
      </w:r>
    </w:p>
    <w:p>
      <w:pPr>
        <w:spacing w:after="0" w:line="206" w:lineRule="exact"/>
        <w:rPr>
          <w:sz w:val="20"/>
          <w:szCs w:val="20"/>
          <w:color w:val="auto"/>
        </w:rPr>
      </w:pPr>
    </w:p>
    <w:p>
      <w:pPr>
        <w:ind w:left="9660"/>
        <w:spacing w:after="0"/>
        <w:rPr>
          <w:sz w:val="20"/>
          <w:szCs w:val="20"/>
          <w:color w:val="auto"/>
        </w:rPr>
      </w:pPr>
      <w:r>
        <w:rPr>
          <w:rFonts w:ascii="Arial" w:cs="Arial" w:eastAsia="Arial" w:hAnsi="Arial"/>
          <w:sz w:val="16"/>
          <w:szCs w:val="16"/>
          <w:b w:val="1"/>
          <w:bCs w:val="1"/>
          <w:color w:val="auto"/>
        </w:rPr>
        <w:t>Series A-2 Preferred</w:t>
      </w:r>
    </w:p>
    <w:p>
      <w:pPr>
        <w:spacing w:after="0" w:line="44"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Stock Warrant</w:t>
      </w:r>
    </w:p>
    <w:p>
      <w:pPr>
        <w:spacing w:after="0" w:line="9" w:lineRule="exact"/>
        <w:rPr>
          <w:sz w:val="20"/>
          <w:szCs w:val="20"/>
          <w:color w:val="auto"/>
        </w:rPr>
      </w:pPr>
    </w:p>
    <w:p>
      <w:pPr>
        <w:ind w:left="10100"/>
        <w:spacing w:after="0"/>
        <w:rPr>
          <w:sz w:val="20"/>
          <w:szCs w:val="20"/>
          <w:color w:val="auto"/>
        </w:rPr>
      </w:pPr>
      <w:r>
        <w:rPr>
          <w:rFonts w:ascii="Arial" w:cs="Arial" w:eastAsia="Arial" w:hAnsi="Arial"/>
          <w:sz w:val="18"/>
          <w:szCs w:val="18"/>
          <w:b w:val="1"/>
          <w:bCs w:val="1"/>
          <w:color w:val="auto"/>
        </w:rPr>
        <w:t>Liability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440"/>
              <w:spacing w:after="0"/>
              <w:rPr>
                <w:sz w:val="20"/>
                <w:szCs w:val="20"/>
                <w:color w:val="auto"/>
              </w:rPr>
            </w:pPr>
            <w:r>
              <w:rPr>
                <w:rFonts w:ascii="Arial" w:cs="Arial" w:eastAsia="Arial" w:hAnsi="Arial"/>
                <w:sz w:val="18"/>
                <w:szCs w:val="18"/>
                <w:color w:val="auto"/>
              </w:rPr>
              <w:t>Issuance of Series A preferred stock warrants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color w:val="auto"/>
              </w:rPr>
              <w:t>Balance as of December 31, 2020</w:t>
            </w: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1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00" w:type="dxa"/>
            <w:vAlign w:val="bottom"/>
          </w:tcPr>
          <w:p>
            <w:pPr>
              <w:ind w:left="460"/>
              <w:spacing w:after="0"/>
              <w:rPr>
                <w:sz w:val="20"/>
                <w:szCs w:val="20"/>
                <w:color w:val="auto"/>
              </w:rPr>
            </w:pPr>
            <w:r>
              <w:rPr>
                <w:rFonts w:ascii="Arial" w:cs="Arial" w:eastAsia="Arial" w:hAnsi="Arial"/>
                <w:sz w:val="18"/>
                <w:szCs w:val="18"/>
                <w:color w:val="auto"/>
              </w:rPr>
              <w:t>The cost and accumulated depreciation of property and equipment were as follows (in thousands):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12"/>
        </w:trPr>
        <w:tc>
          <w:tcPr>
            <w:tcW w:w="85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Lab equipment</w:t>
            </w:r>
          </w:p>
        </w:tc>
        <w:tc>
          <w:tcPr>
            <w:tcW w:w="1440" w:type="dxa"/>
            <w:vAlign w:val="bottom"/>
            <w:tcBorders>
              <w:top w:val="single" w:sz="8" w:color="CCEEFF"/>
            </w:tcBorders>
            <w:gridSpan w:val="2"/>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$ 534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4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gridSpan w:val="2"/>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(259)</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$ 419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$0.1 million for each of the years ended December 31, 2019 and 2020.</w:t>
      </w:r>
    </w:p>
    <w:p>
      <w:pPr>
        <w:spacing w:after="0" w:line="246" w:lineRule="exact"/>
        <w:rPr>
          <w:sz w:val="20"/>
          <w:szCs w:val="20"/>
          <w:color w:val="auto"/>
        </w:rPr>
      </w:pPr>
    </w:p>
    <w:p>
      <w:pPr>
        <w:ind w:right="9460" w:firstLine="8"/>
        <w:spacing w:after="0" w:line="391" w:lineRule="auto"/>
        <w:tabs>
          <w:tab w:leader="none" w:pos="175"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Material Agreements </w:t>
      </w:r>
      <w:r>
        <w:rPr>
          <w:rFonts w:ascii="Arial" w:cs="Arial" w:eastAsia="Arial" w:hAnsi="Arial"/>
          <w:sz w:val="16"/>
          <w:szCs w:val="16"/>
          <w:b w:val="1"/>
          <w:bCs w:val="1"/>
          <w:i w:val="1"/>
          <w:iCs w:val="1"/>
          <w:color w:val="auto"/>
        </w:rPr>
        <w:t>Grant funding</w:t>
      </w:r>
    </w:p>
    <w:p>
      <w:pPr>
        <w:spacing w:after="0" w:line="1"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 February 2019, Innovate UK, or IUK, awarded the Company up to $2.1 million under a grant award to support the Company’s development of therapies for neuromuscular and neurological diseases. During the fiscal years 2019 and 2020, the Company recognized $0.5 million and $1.4 million of reimbursable funds from IUK, based on eligible costs incurred under the grant, respectively. The IUK grant reimbursements are accrued as an offset against research and development expenses as reimbursable expenses are incurred. The Company recorded receivables, included in other receivables in the consolidated balance sheets of $0.1 million and $0.3 million for the periods ended December 31, 2019 and 2020, respectively, related to eligible costs incurred but not yet reimbursed.</w:t>
      </w:r>
    </w:p>
    <w:p>
      <w:pPr>
        <w:spacing w:after="0" w:line="219" w:lineRule="exact"/>
        <w:rPr>
          <w:sz w:val="20"/>
          <w:szCs w:val="20"/>
          <w:color w:val="auto"/>
        </w:rPr>
      </w:pPr>
    </w:p>
    <w:p>
      <w:pPr>
        <w:jc w:val="both"/>
        <w:ind w:right="9020" w:firstLine="8"/>
        <w:spacing w:after="0" w:line="417" w:lineRule="auto"/>
        <w:tabs>
          <w:tab w:leader="none" w:pos="175"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Technology license agreement</w:t>
      </w:r>
    </w:p>
    <w:p>
      <w:pPr>
        <w:spacing w:after="0" w:line="1" w:lineRule="exact"/>
        <w:rPr>
          <w:sz w:val="20"/>
          <w:szCs w:val="20"/>
          <w:color w:val="auto"/>
        </w:rPr>
      </w:pPr>
    </w:p>
    <w:p>
      <w:pPr>
        <w:ind w:right="440" w:firstLine="449"/>
        <w:spacing w:after="0" w:line="298" w:lineRule="auto"/>
        <w:rPr>
          <w:sz w:val="20"/>
          <w:szCs w:val="20"/>
          <w:color w:val="auto"/>
        </w:rPr>
      </w:pPr>
      <w:r>
        <w:rPr>
          <w:rFonts w:ascii="Arial" w:cs="Arial" w:eastAsia="Arial" w:hAnsi="Arial"/>
          <w:sz w:val="16"/>
          <w:szCs w:val="16"/>
          <w:color w:val="auto"/>
        </w:rPr>
        <w:t>In March 2018, the Company, Oxford University Innovation Limited, or OUI, and the Medical Research Council of United Kingdom Research and Innovation, or MRC (or collectively the Licensors), entered into a license of technology agreement, or the License Agreement, which was subsequently amended in December 2018 and further amended and restated in November 2020. The Licensors and affiliates hold shares of Series A-1 and Series A-2 preferred stock and Class A common stock. The License Agreement provides the Company with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an exclusive world-wide license to licensed data and technology owned by OUI and MRC in respect of cell penetrating peptides for treatment of Duchenne muscular dystrophy, spinal muscular atrophy, and other conditions. The License Agreement provides the Company with the rights to grant and authorize sublicenses to make, use, sell, and import products and otherwise exploit the patent rights.</w:t>
      </w:r>
    </w:p>
    <w:p>
      <w:pPr>
        <w:spacing w:after="0" w:line="106"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As consideration for the license, the Company made an initial upfront payment in 2018 of $0.1 million upon transfer of the license technology and data and in 2020 upon amending and restating the License Agreement made two additional payments of $19,000 for a Restatement Completion Fee and License Data Fee. The Company determined that the upfront payment and subsequent Restatement Completion Fee and License Data Fee as part of the license agreement would be expensed upon execution of the original contract and subsequent amendment as the license was acquired for research and development purposes which does not have alternative future uses, and the underlying technology has not reached technological feasibility.</w:t>
      </w:r>
    </w:p>
    <w:p>
      <w:pPr>
        <w:spacing w:after="0" w:line="11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Company could be required to make milestone payments to the Licensors upon completion of certain patent and commercial milestones related to the patents and commercialization of certain of the Company’s product candidates. The aggregate potential milestone payments are $0.1 million. The Company also agreed to pay the Licensors low single digit royalties on net sales of any licensed products in excess of a threshold amount between £20 million and £30 million (or $27.2 million and $40.8 million as of December 31, 2020) that are commercialized by the Company or sublicensees, subject to certain adjustments. The term of the License Agreement continues until the later of (i) the date on which all the patents and patent applications covered thereunder have been abandoned or allowed to lapse or expired or been rejected or revoked or (ii) 20 years from the date of the original agreement.</w:t>
      </w:r>
    </w:p>
    <w:p>
      <w:pPr>
        <w:spacing w:after="0" w:line="120"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Additionally, the Company could be required to pay OUI an exit fee between 0.5% to 2% of the value determined in an acquisition or IPO, not to exceed £5 million ($6.8 million as of December 31, 2020), if the Company enters into a transaction with a third-party whereby the party obtains direct or indirect control of the Company, or the Company sells shares on an exchange in an IPO. In lieu of paying the exit fee, the Company has the option to pay a buy out fee, which can be paid at any time to release the Company from its obligation to pay the exit fee. As of December 31, 2020, the Company concluded the exit event was not probable and therefore no obligation was recorded.</w:t>
      </w:r>
    </w:p>
    <w:p>
      <w:pPr>
        <w:spacing w:after="0" w:line="147" w:lineRule="exact"/>
        <w:rPr>
          <w:sz w:val="20"/>
          <w:szCs w:val="20"/>
          <w:color w:val="auto"/>
        </w:rPr>
      </w:pPr>
    </w:p>
    <w:p>
      <w:pPr>
        <w:ind w:right="160" w:firstLine="449"/>
        <w:spacing w:after="0" w:line="331" w:lineRule="auto"/>
        <w:rPr>
          <w:sz w:val="20"/>
          <w:szCs w:val="20"/>
          <w:color w:val="auto"/>
        </w:rPr>
      </w:pPr>
      <w:r>
        <w:rPr>
          <w:rFonts w:ascii="Arial" w:cs="Arial" w:eastAsia="Arial" w:hAnsi="Arial"/>
          <w:sz w:val="16"/>
          <w:szCs w:val="16"/>
          <w:color w:val="auto"/>
        </w:rPr>
        <w:t>Additionally, the Company pays office space rent to OUI. For the years ended December 31, 2019 and 2020, total rent payments were $0.1 million and $0.1 million, respectively. As of December 31, 2019 and 2020, $16,000 and $26,000, respectively, was due to OUI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90"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In November 2020, the Company entered into an agreement, or the Services Agreement, with Carnot Pharma, LLC, or Carnot, under which Carnot provides research and other services to the Company. Carnot is an entity controlled by RA Capital Management, L.P. Entities affiliated with RA Capital Management, L.P. purchased shares of Series A-2 convertible preferred stock in the Company’s preferred stock financing in November of 2020 and May and July of 2021. In addition, entities affiliated with RA Capital Management, L.P. purchased shares of our Series B convertible preferred stock in the Company’s preferred stock financing in July 2021. Two members of the Company’s Board of Directors are also affiliated with RA Capital Management, L.P.</w:t>
      </w:r>
    </w:p>
    <w:p>
      <w:pPr>
        <w:spacing w:after="0" w:line="11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Under the terms of the Services Agreement, the Company compensates Carnot on a fully burdened cost basis for personal time devoted to Company projects. In addition, the Company reimburses Carnot on a costs basis for any subcontractor costs incurred. The Company pays Carnot on a quarterly basis, in arrears, for services performed and costs incurred. The Services Agreement is for a term of the later of (A) two (2) years and (B) the later of (a) completion of the Services or (b) latest-to-occur delivery of a final report or any other items required to be delivered to the Company under the last ongoing project as part of the services, if any. The Company may terminate the services agreement by giving 30 days’ prior notice and either party can terminate the services agreement for a material breach, if not cured within 30 days following notice by the nonbreaching party.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320" w:top="459" w:right="3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incurred by the Company under the Services Agreement with Carnot for the year ended December 31, 2020, totaled approximately $31,000.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approximately $31,000 was due to Carnot by the Company for services rendered under the Services Agreement.</w:t>
      </w:r>
    </w:p>
    <w:p>
      <w:pPr>
        <w:spacing w:after="0" w:line="240" w:lineRule="exact"/>
        <w:rPr>
          <w:sz w:val="20"/>
          <w:szCs w:val="20"/>
          <w:color w:val="auto"/>
        </w:rPr>
      </w:pPr>
    </w:p>
    <w:p>
      <w:pPr>
        <w:ind w:right="8580" w:firstLine="8"/>
        <w:spacing w:after="0" w:line="391" w:lineRule="auto"/>
        <w:tabs>
          <w:tab w:leader="none" w:pos="175"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49"/>
        <w:spacing w:after="0" w:line="331"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w:t>
      </w:r>
    </w:p>
    <w:p>
      <w:pPr>
        <w:spacing w:after="0" w:line="87" w:lineRule="exact"/>
        <w:rPr>
          <w:sz w:val="20"/>
          <w:szCs w:val="20"/>
          <w:color w:val="auto"/>
        </w:rPr>
      </w:pPr>
    </w:p>
    <w:p>
      <w:pPr>
        <w:ind w:right="1000" w:firstLine="449"/>
        <w:spacing w:after="0" w:line="268" w:lineRule="auto"/>
        <w:rPr>
          <w:sz w:val="20"/>
          <w:szCs w:val="20"/>
          <w:color w:val="auto"/>
        </w:rPr>
      </w:pPr>
      <w:r>
        <w:rPr>
          <w:rFonts w:ascii="Arial" w:cs="Arial" w:eastAsia="Arial" w:hAnsi="Arial"/>
          <w:sz w:val="18"/>
          <w:szCs w:val="18"/>
          <w:color w:val="auto"/>
        </w:rPr>
        <w:t>Significant judgment is required to determine both probability and the estimated amount. No contingent liabilities have been recorded as of December 31, 2019 and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90"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In September 2020, the University of Oxford, or UO, and the Company entered into a noncancellable lease whereby UO leased the Company laboratory space in Oxford, United Kingdom, with an initial term through September 2021. The Company is currently negotiating a one-year extension to the lease agreement. The lease is currently cancelable within six weeks of written notice. The Company agreed to pay UO rent at a rate of $0.1 million per year under the terms of the 2020 lease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June 30, 2021.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and 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A-1 convertible preferred stock and Series A-2 convertible preferred stock</w:t>
      </w:r>
    </w:p>
    <w:p>
      <w:pPr>
        <w:spacing w:after="0" w:line="90"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In connection with the November 24, 2020, Stock Purchase Agreement, the Company agreed to issue an aggregate of 3,939,069 shares of Series A-2 convertible preferred stock to new and existing investors at a price of $11.42 per share, in three closings, and elected to convert 1,372,970 shares of outstanding Class A and Class B common stock into shares of Series A-1 convertible preferred stock. A total of 1,051,720 shares of Class A common stock held by certain founding investors and employees were not modified and continue to exist as Class A common stock.</w:t>
      </w:r>
    </w:p>
    <w:p>
      <w:pPr>
        <w:spacing w:after="0" w:line="112"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The Company concluded the terms of the Stock Purchase Agreement, whereby certain pre-existing Class A and Class B common stock was modified and exchanged for Series A-1 convertible preferred stock, represented a modification as these previous Class A and Class B Common stockholders received incremental value through the enhanced rights and preferences associated with the Series A-1 convertible preferred stock. Consequently, in connection with this exchange, the Company recorded a deemed dividend of $2.2 million to reflect the difference between the fair value of the Series A-1 convertible preferred stock and the Class A and Class B common stock, on the date of the exchange, based upon a valuation performed by an independent valuation specialist.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November 2020, the Company issued 700,278 shares of Series A-2 convertible preferred stock in the initial closing for gross proceeds of $8.0 million. The Stock Purchase Agreement contains provisions that potentially obligate the Company to sell, outside of its control, an additional 3,238,791 shares of Series A-2 convertible preferred stock at $11.42 per share for expected gross proceeds of $37.0 million, upon the occurrence of two subsequent milestone closings, or the Milestone Closings, or earlier, at the option of any holder of the Series A-2 convertible preferred stock. If the defined milestones are not achieved prior to the Company’s IPO, the holders may elect to purchase these shares prior to the completion of the IPO. If the shares are not purchased prior to the completion of the IPO, then this right to purchase these shares automatically expires. If any holder of the Series A-2 convertible preferred stock does not elect to participate in the two subsequent Milestone Closings, the holder’s shares of Series A-2 convertible preferred stock automatically convert into shares of common stock at a ratio of ten shares of Series A-2 convertible preferred stock to one share of common stock. In addition, to the extent any Series A-1 convertible preferred stock stockholder participated in the Series A-2 preferred stock financing and does not elect to participate in the two subsequent Milestone Closings, the holder’s shares of Series A-1 convertible preferred stock automatically convert into shares of common stock on a one-to-one basis.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convertible preferred stock has the following characteristics: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jc w:val="both"/>
        <w:ind w:right="80" w:firstLine="449"/>
        <w:spacing w:after="0" w:line="335" w:lineRule="auto"/>
        <w:rPr>
          <w:sz w:val="20"/>
          <w:szCs w:val="20"/>
          <w:color w:val="auto"/>
        </w:rPr>
      </w:pPr>
      <w:r>
        <w:rPr>
          <w:rFonts w:ascii="Arial" w:cs="Arial" w:eastAsia="Arial" w:hAnsi="Arial"/>
          <w:sz w:val="15"/>
          <w:szCs w:val="15"/>
          <w:color w:val="auto"/>
        </w:rPr>
        <w:t>Each holder of convertible preferred stock is entitled to receive dividends when and if declared by the board of directors at the rate of 6% of the original issue price per annum. The original issuance price, or Original Issuance Price, with respect to the Series A-1 convertible preferred stock is $4.64 per share and with respect to the Series A-2 convertible preferred stock is $11.42 per share. Dividends are noncumulative, and no cash dividends have been declared to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9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Each share of convertible preferred stock is convertible without payment of additional consideration at the option of the holder any time after the issuance date into shares of common stock determined by dividing the Original Issuance Price by the conversion price. The conversion price of the convertible preferred stock is initially equal to the Original Issuance Price and is subject to adjustment if the Company issues additional shares of common stock after the applicable original issue date of such series of convertible preferred stock without consideration or for consideration per share less than the conversion price for such series of convertible preferred stock, subject to customary exceptions. The conversion price will be adjusted for stock splits, distributions, dividends, and noncash distributions. The convertible preferred stock is subject to a mandatory conversion in the event that there is a closing of the sale of shares of common stock to the public at a price of at least $57.12 per share (subject to adjustment)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board of directors. As of December 31, 2020, all series of convertible preferred stock are convertible into shares of common stock on a one-to-one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Holders of the convertible preferred stock are entitled to receive liquidation preferences at the Series A-1 and Series A-2 Original Issue Price, plus all accrued and declared but unpaid dividends. After full payment of the liquidation preference to the holders of the Series A-1 and Series A-2 convertible preferred stock, the remaining assets, if any, will be distributed ratably to the holders of the common stock provided, however, that each holder of convertible preferred stock shall be entitled to receive upon such liquidation the greater of (i) the amount distributed pursuant to above and (ii) the amount such holder would have received if all shares of convertible preferred stock had been converted into common stock immediately prior to such liquidation.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90"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The holders of Series A-1 and A-2 convertible preferred stock do not have any redemption rights, except upon certain liquidation and dissolution events that are outside of the Company’s control.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holder of each share of convertible preferred stock is entitled to one vote for each share of common stock into which it would convert and to vote as one class with the common stockholders on all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9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consolidated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90"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Under the Restated Certificate of Incorporation dated November 24, 2020, the Company has the authority to issue a total of 7,800,000 shares of Class A common stock (par value of $0.0001 per share), 571,430 shares of Class B common stock (par value of $0.00001 per share) and 5,347,568 shares of preferred stock (par value of $0.0001 per share).</w:t>
      </w:r>
    </w:p>
    <w:p>
      <w:pPr>
        <w:spacing w:after="0" w:line="14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In 2018, the Company issued 1,000,000 shares of Class A common stock to certain founders of the Company with a stated value of $0.001 per share, under PepGen Limited. From March 2018 through December 2019, the Company issued 1,372,970 shares of Class A common stock and Class B common stock with a stated value of $4.64 per share under, PepGen Limited. In addition, in November of 2020, the Company issued 51,720 shares of Class A common stock in connection with the exercise of stock options, under PepGen Limited. In connection with the Reorganization, the Class A and Class B common stock of PepGen Limited were converted into shares of PepGen Inc. on a one-to-one basis into the same Class of common stock originally held.</w:t>
      </w:r>
    </w:p>
    <w:p>
      <w:pPr>
        <w:spacing w:after="0" w:line="115" w:lineRule="exact"/>
        <w:rPr>
          <w:sz w:val="20"/>
          <w:szCs w:val="20"/>
          <w:color w:val="auto"/>
        </w:rPr>
      </w:pPr>
    </w:p>
    <w:p>
      <w:pPr>
        <w:ind w:right="280" w:firstLine="449"/>
        <w:spacing w:after="0" w:line="306" w:lineRule="auto"/>
        <w:rPr>
          <w:sz w:val="20"/>
          <w:szCs w:val="20"/>
          <w:color w:val="auto"/>
        </w:rPr>
      </w:pPr>
      <w:r>
        <w:rPr>
          <w:rFonts w:ascii="Arial" w:cs="Arial" w:eastAsia="Arial" w:hAnsi="Arial"/>
          <w:sz w:val="16"/>
          <w:szCs w:val="16"/>
          <w:color w:val="auto"/>
        </w:rPr>
        <w:t>Each share of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as to dividends. No cash dividends have been declared by the board of directors during the years ended December 31, 2019 and 2020.</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issuance, on an as-converted basis,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8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w:t>
            </w:r>
          </w:p>
        </w:tc>
      </w:tr>
      <w:tr>
        <w:trPr>
          <w:trHeight w:val="212"/>
        </w:trPr>
        <w:tc>
          <w:tcPr>
            <w:tcW w:w="49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2019</w:t>
            </w:r>
          </w:p>
        </w:tc>
        <w:tc>
          <w:tcPr>
            <w:tcW w:w="106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48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2,073,248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Preferred stock warrants issued and outstanding</w:t>
            </w:r>
          </w:p>
        </w:tc>
        <w:tc>
          <w:tcPr>
            <w:tcW w:w="4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35,529</w:t>
            </w:r>
          </w:p>
        </w:tc>
        <w:tc>
          <w:tcPr>
            <w:tcW w:w="6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7"/>
              </w:rPr>
              <w:t>Vesting conditions placed on previously issued common shares</w:t>
            </w:r>
          </w:p>
        </w:tc>
        <w:tc>
          <w:tcPr>
            <w:tcW w:w="4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141,560</w:t>
            </w:r>
          </w:p>
        </w:tc>
        <w:tc>
          <w:tcPr>
            <w:tcW w:w="6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Authorized for future stock awards or option grants</w:t>
            </w:r>
          </w:p>
        </w:tc>
        <w:tc>
          <w:tcPr>
            <w:tcW w:w="48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392,391</w:t>
            </w:r>
          </w:p>
        </w:tc>
        <w:tc>
          <w:tcPr>
            <w:tcW w:w="60" w:type="dxa"/>
            <w:vAlign w:val="bottom"/>
          </w:tcPr>
          <w:p>
            <w:pPr>
              <w:spacing w:after="0"/>
              <w:rPr>
                <w:sz w:val="19"/>
                <w:szCs w:val="19"/>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2,642,728</w:t>
            </w:r>
          </w:p>
        </w:tc>
        <w:tc>
          <w:tcPr>
            <w:tcW w:w="6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940" w:type="dxa"/>
            <w:vAlign w:val="bottom"/>
          </w:tcPr>
          <w:p>
            <w:pPr>
              <w:spacing w:after="0"/>
              <w:rPr>
                <w:sz w:val="24"/>
                <w:szCs w:val="24"/>
                <w:color w:val="auto"/>
              </w:rPr>
            </w:pPr>
          </w:p>
        </w:tc>
        <w:tc>
          <w:tcPr>
            <w:tcW w:w="5180" w:type="dxa"/>
            <w:vAlign w:val="bottom"/>
            <w:gridSpan w:val="2"/>
          </w:tcPr>
          <w:p>
            <w:pPr>
              <w:jc w:val="right"/>
              <w:ind w:right="4252"/>
              <w:spacing w:after="0"/>
              <w:rPr>
                <w:sz w:val="20"/>
                <w:szCs w:val="20"/>
                <w:color w:val="auto"/>
              </w:rPr>
            </w:pPr>
            <w:r>
              <w:rPr>
                <w:rFonts w:ascii="Arial" w:cs="Arial" w:eastAsia="Arial" w:hAnsi="Arial"/>
                <w:sz w:val="18"/>
                <w:szCs w:val="18"/>
                <w:color w:val="auto"/>
              </w:rPr>
              <w:t>F-20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Common Stock Subject to Repurchase</w:t>
      </w:r>
    </w:p>
    <w:p>
      <w:pPr>
        <w:spacing w:after="0" w:line="90" w:lineRule="exact"/>
        <w:rPr>
          <w:sz w:val="20"/>
          <w:szCs w:val="20"/>
          <w:color w:val="auto"/>
        </w:rPr>
      </w:pPr>
    </w:p>
    <w:p>
      <w:pPr>
        <w:ind w:right="120" w:firstLine="449"/>
        <w:spacing w:after="0" w:line="298" w:lineRule="auto"/>
        <w:rPr>
          <w:sz w:val="20"/>
          <w:szCs w:val="20"/>
          <w:color w:val="auto"/>
        </w:rPr>
      </w:pPr>
      <w:r>
        <w:rPr>
          <w:rFonts w:ascii="Arial" w:cs="Arial" w:eastAsia="Arial" w:hAnsi="Arial"/>
          <w:sz w:val="16"/>
          <w:szCs w:val="16"/>
          <w:color w:val="auto"/>
        </w:rPr>
        <w:t>In November 2020, in connection with the Series A-2 convertible preferred stock financing, two founding stockholders entered into Stock Restriction Agreements, or Restriction Agreements, whereby 141,560 shares that were previously vested and not subject to repurchase became restricted and subject to repurchase. The repurchase rights lapse 50% on the one-year anniversary of the Restriction Agreements and 50% on the second anniversary of the Restriction Agreements. Shares subject to repurchase by the Company are not deemed, for accounting purposes, to be outstanding until those shares vest.</w:t>
      </w:r>
    </w:p>
    <w:p>
      <w:pPr>
        <w:spacing w:after="0" w:line="112" w:lineRule="exact"/>
        <w:rPr>
          <w:sz w:val="20"/>
          <w:szCs w:val="20"/>
          <w:color w:val="auto"/>
        </w:rPr>
      </w:pPr>
    </w:p>
    <w:p>
      <w:pPr>
        <w:ind w:firstLine="449"/>
        <w:spacing w:after="0" w:line="335" w:lineRule="auto"/>
        <w:rPr>
          <w:sz w:val="20"/>
          <w:szCs w:val="20"/>
          <w:color w:val="auto"/>
        </w:rPr>
      </w:pPr>
      <w:r>
        <w:rPr>
          <w:rFonts w:ascii="Arial" w:cs="Arial" w:eastAsia="Arial" w:hAnsi="Arial"/>
          <w:sz w:val="15"/>
          <w:szCs w:val="15"/>
          <w:color w:val="auto"/>
        </w:rPr>
        <w:t>In connection with the vesting restrictions placed on these previously vested shares, the Company was required to determine the measurement date fair value of the shares, which was $2.32 per share or $0.3 million in aggregate. The measurement date fair value of the restricted stock will be recognized as stock-based compensation expense over the vesting period. For the year ended December 31, 2020, 141,560 shares were subject to repurchase by the Company.</w:t>
      </w:r>
    </w:p>
    <w:p>
      <w:pPr>
        <w:spacing w:after="0" w:line="163" w:lineRule="exact"/>
        <w:rPr>
          <w:sz w:val="20"/>
          <w:szCs w:val="20"/>
          <w:color w:val="auto"/>
        </w:rPr>
      </w:pPr>
    </w:p>
    <w:p>
      <w:pPr>
        <w:ind w:right="8980" w:firstLine="8"/>
        <w:spacing w:after="0" w:line="417" w:lineRule="auto"/>
        <w:tabs>
          <w:tab w:leader="none" w:pos="175" w:val="left"/>
        </w:tabs>
        <w:numPr>
          <w:ilvl w:val="0"/>
          <w:numId w:val="1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2020 Stock Plan</w:t>
      </w:r>
    </w:p>
    <w:p>
      <w:pPr>
        <w:spacing w:after="0" w:line="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November 2020, the Company’s board of directors adopted the 2020 Stock Plan, or 2020 Plan, upon the adoption of the 2020 Plan and in accordance with the Reorganization, the Company’s previous plan was cancelled and no shares under the plan remained outstanding. The 2020 Plan, which provides for the granting of incentive stock options, non-statutory stock options, restricted stock awards, and other forms of stock awards to its employees, directors, and consultants. The exercise price of incentive stock options and nonqualified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value on the date of grant. Options expire after 10 years (five years for incentive stock options granted to stockholders owning greater than 10% of the voting stock). The term and vesting periods for options granted under the 2020 Plan are determined by the Company’s board of directors. Options granted generally vest over four years. Options must be exercised within a 10-year period or sooner if specified within the option agreement. Under the 2020 Plan, the Company initially reserved 392,391 shares of common stock for issuance. As of December 31, 2020, no options under the 2020 Plan were outstanding and 392,391 shares were available for future grant.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90" w:lineRule="exact"/>
        <w:rPr>
          <w:sz w:val="20"/>
          <w:szCs w:val="20"/>
          <w:color w:val="auto"/>
        </w:rPr>
      </w:pPr>
    </w:p>
    <w:p>
      <w:pPr>
        <w:ind w:right="100" w:firstLine="449"/>
        <w:spacing w:after="0" w:line="306" w:lineRule="auto"/>
        <w:rPr>
          <w:sz w:val="20"/>
          <w:szCs w:val="20"/>
          <w:color w:val="auto"/>
        </w:rPr>
      </w:pPr>
      <w:r>
        <w:rPr>
          <w:rFonts w:ascii="Arial" w:cs="Arial" w:eastAsia="Arial" w:hAnsi="Arial"/>
          <w:sz w:val="16"/>
          <w:szCs w:val="16"/>
          <w:color w:val="auto"/>
        </w:rPr>
        <w:t>In August of 2020, the Company granted options to certain employees and non-employees for Class A common shares, with an exercise price of $0.001 per share, whereby the vesting was contingent upon the achievement of a performance condition related to a financing goal. In November of 2020, the performance condition was satisfied, and 51,720 options became vested and were subsequently exercised.</w:t>
      </w:r>
    </w:p>
    <w:p>
      <w:pPr>
        <w:spacing w:after="0" w:line="106"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total intrinsic value of the options exercised during the year ended December 31, 2020 was $0.1 million. The intrinsic value is the difference between the estimated fair value of the Company’s common stock at the time of exercise, as determined by the board of directors, and the exercise price of the stock option.</w:t>
      </w:r>
    </w:p>
    <w:p>
      <w:pPr>
        <w:spacing w:after="0" w:line="140" w:lineRule="exact"/>
        <w:rPr>
          <w:sz w:val="20"/>
          <w:szCs w:val="20"/>
          <w:color w:val="auto"/>
        </w:rPr>
      </w:pPr>
    </w:p>
    <w:p>
      <w:pPr>
        <w:ind w:right="360" w:firstLine="449"/>
        <w:spacing w:after="0" w:line="268" w:lineRule="auto"/>
        <w:rPr>
          <w:sz w:val="20"/>
          <w:szCs w:val="20"/>
          <w:color w:val="auto"/>
        </w:rPr>
      </w:pPr>
      <w:r>
        <w:rPr>
          <w:rFonts w:ascii="Arial" w:cs="Arial" w:eastAsia="Arial" w:hAnsi="Arial"/>
          <w:sz w:val="18"/>
          <w:szCs w:val="18"/>
          <w:color w:val="auto"/>
        </w:rPr>
        <w:t>The total fair value of options that vested during the year ended December 31, 2020 was $0.1 million. The weighted-average grant date fair value of options granted during the year ended December 31, 2020 was $2.04 per share.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For the year ended December 31, 2020, the Company recognized $0.1 million in stock-based compensation related to stock option grants issued to employees and non-employees, which $94,000 and $25,000 were presented in research and development and general and administrative expense, respectively, in the consolidated statements of operations and comprehensive loss.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320" w:top="459" w:right="3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2020, there were no outstanding options and no unrecognized compensation cost related to options.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the fair value of the stock options granted, the Company uses the Black-Scholes option-pricing model and assumptions discussed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inputs is subjective and generally requires significant judgment.</w:t>
      </w:r>
    </w:p>
    <w:p>
      <w:pPr>
        <w:spacing w:after="0" w:line="84"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Company’s expected term represents the period that the Company’s stock- based awards are expected to be outstanding.</w:t>
      </w:r>
    </w:p>
    <w:p>
      <w:pPr>
        <w:spacing w:after="0" w:line="3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For the August 2020 grants, the Company used the contractual term and expected performance period to determine the expected term.</w:t>
      </w:r>
    </w:p>
    <w:p>
      <w:pPr>
        <w:spacing w:after="0" w:line="107" w:lineRule="exact"/>
        <w:rPr>
          <w:sz w:val="20"/>
          <w:szCs w:val="20"/>
          <w:color w:val="auto"/>
        </w:rPr>
      </w:pPr>
    </w:p>
    <w:p>
      <w:pPr>
        <w:ind w:left="1020"/>
        <w:spacing w:after="0" w:line="25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 volatility was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66" w:lineRule="exact"/>
        <w:rPr>
          <w:sz w:val="20"/>
          <w:szCs w:val="20"/>
          <w:color w:val="auto"/>
        </w:rPr>
      </w:pPr>
    </w:p>
    <w:p>
      <w:pPr>
        <w:ind w:left="1020" w:right="360"/>
        <w:spacing w:after="0" w:line="26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—The Company has never paid dividends on its common stock and has no plans to pay dividends on its common stock.</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60" w:type="dxa"/>
            <w:vAlign w:val="bottom"/>
          </w:tcPr>
          <w:p>
            <w:pPr>
              <w:spacing w:after="0"/>
              <w:rPr>
                <w:sz w:val="18"/>
                <w:szCs w:val="18"/>
                <w:color w:val="auto"/>
              </w:rPr>
            </w:pPr>
          </w:p>
        </w:tc>
        <w:tc>
          <w:tcPr>
            <w:tcW w:w="1580" w:type="dxa"/>
            <w:vAlign w:val="bottom"/>
            <w:gridSpan w:val="4"/>
          </w:tcPr>
          <w:p>
            <w:pPr>
              <w:ind w:left="24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9660" w:type="dxa"/>
            <w:vAlign w:val="bottom"/>
          </w:tcPr>
          <w:p>
            <w:pPr>
              <w:spacing w:after="0"/>
              <w:rPr>
                <w:sz w:val="19"/>
                <w:szCs w:val="19"/>
                <w:color w:val="auto"/>
              </w:rPr>
            </w:pPr>
          </w:p>
        </w:tc>
        <w:tc>
          <w:tcPr>
            <w:tcW w:w="158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96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2019</w:t>
            </w:r>
          </w:p>
        </w:tc>
        <w:tc>
          <w:tcPr>
            <w:tcW w:w="5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2020</w:t>
            </w:r>
          </w:p>
        </w:tc>
        <w:tc>
          <w:tcPr>
            <w:tcW w:w="200" w:type="dxa"/>
            <w:vAlign w:val="bottom"/>
            <w:tcBorders>
              <w:bottom w:val="single" w:sz="8" w:color="CCEEFF"/>
            </w:tcBorders>
          </w:tcPr>
          <w:p>
            <w:pPr>
              <w:spacing w:after="0"/>
              <w:rPr>
                <w:sz w:val="18"/>
                <w:szCs w:val="18"/>
                <w:color w:val="auto"/>
              </w:rPr>
            </w:pPr>
          </w:p>
        </w:tc>
      </w:tr>
      <w:tr>
        <w:trPr>
          <w:trHeight w:val="210"/>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jc w:val="both"/>
        <w:ind w:right="260" w:firstLine="449"/>
        <w:spacing w:after="0" w:line="306" w:lineRule="auto"/>
        <w:rPr>
          <w:sz w:val="20"/>
          <w:szCs w:val="20"/>
          <w:color w:val="auto"/>
        </w:rPr>
      </w:pPr>
      <w:r>
        <w:rPr>
          <w:rFonts w:ascii="Arial" w:cs="Arial" w:eastAsia="Arial" w:hAnsi="Arial"/>
          <w:sz w:val="16"/>
          <w:szCs w:val="16"/>
          <w:color w:val="auto"/>
        </w:rPr>
        <w:t>For the year ended December 31, 2020, the Company recognized $14,000 in stock-based compensation related to the restricted stock issued to certain founders. As of December 31, 2020, the total unrecognized compensation related to the 141,560 unvested restricted stock awards granted was $0.3 million, which the Company expects to recognize over a weighted-average period of approximately 2.0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780" w:firstLine="449"/>
        <w:spacing w:after="0" w:line="268" w:lineRule="auto"/>
        <w:rPr>
          <w:sz w:val="20"/>
          <w:szCs w:val="20"/>
          <w:color w:val="auto"/>
        </w:rPr>
      </w:pPr>
      <w:r>
        <w:rPr>
          <w:rFonts w:ascii="Arial" w:cs="Arial" w:eastAsia="Arial" w:hAnsi="Arial"/>
          <w:sz w:val="18"/>
          <w:szCs w:val="18"/>
          <w:color w:val="auto"/>
        </w:rPr>
        <w:t>The Company’s loss before for income taxes for the year ended December 31, 2019 and 2020 were generated in the following jurisdictions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31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3120" w:type="dxa"/>
            <w:vAlign w:val="bottom"/>
            <w:tcBorders>
              <w:bottom w:val="single" w:sz="8" w:color="CCEEFF"/>
            </w:tcBorders>
          </w:tcPr>
          <w:p>
            <w:pPr>
              <w:spacing w:after="0"/>
              <w:rPr>
                <w:sz w:val="18"/>
                <w:szCs w:val="18"/>
                <w:color w:val="auto"/>
              </w:rPr>
            </w:pPr>
          </w:p>
        </w:tc>
        <w:tc>
          <w:tcPr>
            <w:tcW w:w="6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18"/>
                <w:szCs w:val="18"/>
                <w:color w:val="auto"/>
              </w:rPr>
            </w:pPr>
          </w:p>
        </w:tc>
      </w:tr>
      <w:tr>
        <w:trPr>
          <w:trHeight w:val="210"/>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6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(1,809)</w:t>
            </w:r>
          </w:p>
        </w:tc>
      </w:tr>
      <w:tr>
        <w:trPr>
          <w:trHeight w:val="27"/>
        </w:trPr>
        <w:tc>
          <w:tcPr>
            <w:tcW w:w="31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Worldwide</w:t>
            </w:r>
          </w:p>
        </w:tc>
        <w:tc>
          <w:tcPr>
            <w:tcW w:w="6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(1,346)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(1,889)</w:t>
            </w:r>
          </w:p>
        </w:tc>
      </w:tr>
      <w:tr>
        <w:trPr>
          <w:trHeight w:val="20"/>
        </w:trPr>
        <w:tc>
          <w:tcPr>
            <w:tcW w:w="31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3120" w:type="dxa"/>
            <w:vAlign w:val="bottom"/>
          </w:tcPr>
          <w:p>
            <w:pPr>
              <w:spacing w:after="0"/>
              <w:rPr>
                <w:sz w:val="24"/>
                <w:szCs w:val="24"/>
                <w:color w:val="auto"/>
              </w:rPr>
            </w:pPr>
          </w:p>
        </w:tc>
        <w:tc>
          <w:tcPr>
            <w:tcW w:w="6440" w:type="dxa"/>
            <w:vAlign w:val="bottom"/>
            <w:gridSpan w:val="2"/>
          </w:tcPr>
          <w:p>
            <w:pPr>
              <w:jc w:val="right"/>
              <w:ind w:right="3703"/>
              <w:spacing w:after="0"/>
              <w:rPr>
                <w:sz w:val="20"/>
                <w:szCs w:val="20"/>
                <w:color w:val="auto"/>
              </w:rPr>
            </w:pPr>
            <w:r>
              <w:rPr>
                <w:rFonts w:ascii="Arial" w:cs="Arial" w:eastAsia="Arial" w:hAnsi="Arial"/>
                <w:sz w:val="18"/>
                <w:szCs w:val="18"/>
                <w:color w:val="auto"/>
              </w:rPr>
              <w:t>F-22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940" w:type="dxa"/>
            <w:vAlign w:val="bottom"/>
          </w:tcPr>
          <w:p>
            <w:pPr>
              <w:ind w:left="460"/>
              <w:spacing w:after="0"/>
              <w:rPr>
                <w:sz w:val="20"/>
                <w:szCs w:val="20"/>
                <w:color w:val="auto"/>
              </w:rPr>
            </w:pPr>
            <w:r>
              <w:rPr>
                <w:rFonts w:ascii="Arial" w:cs="Arial" w:eastAsia="Arial" w:hAnsi="Arial"/>
                <w:sz w:val="18"/>
                <w:szCs w:val="18"/>
                <w:color w:val="auto"/>
                <w:w w:val="96"/>
              </w:rPr>
              <w:t>The components of net deferred income taxes consisted of the following as of December 31, 2019 and 2020 (in thousands)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9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5"/>
              </w:rPr>
              <w:t>December 31,</w:t>
            </w:r>
          </w:p>
        </w:tc>
        <w:tc>
          <w:tcPr>
            <w:tcW w:w="0" w:type="dxa"/>
            <w:vAlign w:val="bottom"/>
          </w:tcPr>
          <w:p>
            <w:pPr>
              <w:spacing w:after="0"/>
              <w:rPr>
                <w:sz w:val="1"/>
                <w:szCs w:val="1"/>
                <w:color w:val="auto"/>
              </w:rPr>
            </w:pPr>
          </w:p>
        </w:tc>
      </w:tr>
      <w:tr>
        <w:trPr>
          <w:trHeight w:val="212"/>
        </w:trPr>
        <w:tc>
          <w:tcPr>
            <w:tcW w:w="9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2019</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94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(820)</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60" w:firstLine="449"/>
        <w:spacing w:after="0" w:line="268" w:lineRule="auto"/>
        <w:rPr>
          <w:sz w:val="20"/>
          <w:szCs w:val="20"/>
          <w:color w:val="auto"/>
        </w:rPr>
      </w:pPr>
      <w:r>
        <w:rPr>
          <w:rFonts w:ascii="Arial" w:cs="Arial" w:eastAsia="Arial" w:hAnsi="Arial"/>
          <w:sz w:val="18"/>
          <w:szCs w:val="18"/>
          <w:color w:val="auto"/>
        </w:rPr>
        <w:t>A reconciliation of income tax expense to the amount computed by applying the statutory federal income tax rate to the loss from operations is summarized for the years ended December 31, 2019 and 2020,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60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9"/>
        </w:trPr>
        <w:tc>
          <w:tcPr>
            <w:tcW w:w="9640" w:type="dxa"/>
            <w:vAlign w:val="bottom"/>
          </w:tcPr>
          <w:p>
            <w:pPr>
              <w:spacing w:after="0"/>
              <w:rPr>
                <w:sz w:val="19"/>
                <w:szCs w:val="19"/>
                <w:color w:val="auto"/>
              </w:rPr>
            </w:pPr>
          </w:p>
        </w:tc>
        <w:tc>
          <w:tcPr>
            <w:tcW w:w="16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96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2019</w:t>
            </w:r>
          </w:p>
        </w:tc>
        <w:tc>
          <w:tcPr>
            <w:tcW w:w="6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at statutory rate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and other</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640" w:type="dxa"/>
            <w:vAlign w:val="bottom"/>
            <w:vMerge w:val="restart"/>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40" w:type="dxa"/>
            <w:vAlign w:val="bottom"/>
            <w:vMerge w:val="continue"/>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The Company had federal net operating loss (NOL) carryforwards available of approximately $0.1 million as of December 31, 2020, before consideration of limitations under Section 382 of the Internal Revenue Code or Section 382, as further described below. The net operating loss generated of $0.1 million will carryforward indefinitely.</w:t>
      </w:r>
    </w:p>
    <w:p>
      <w:pPr>
        <w:spacing w:after="0" w:line="140"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The Company has generated UK NOLs of $4.3 million which are subject to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and which, subject to the above restrictions and potential future changes in law, and to any potential restructuring or changes in the nature of our operations, may be eligible for carry forward against future operating profits and/or other taxable profits or gains.</w:t>
      </w:r>
    </w:p>
    <w:p>
      <w:pPr>
        <w:spacing w:after="0" w:line="14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For U.S. federal income tax purposes, the future utilization of the Company’s NOL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2020.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spacing w:after="0" w:line="147" w:lineRule="exact"/>
        <w:rPr>
          <w:sz w:val="20"/>
          <w:szCs w:val="20"/>
          <w:color w:val="auto"/>
        </w:rPr>
      </w:pPr>
    </w:p>
    <w:p>
      <w:pPr>
        <w:jc w:val="both"/>
        <w:ind w:right="200" w:firstLine="449"/>
        <w:spacing w:after="0" w:line="259" w:lineRule="auto"/>
        <w:rPr>
          <w:sz w:val="20"/>
          <w:szCs w:val="20"/>
          <w:color w:val="auto"/>
        </w:rPr>
      </w:pPr>
      <w:r>
        <w:rPr>
          <w:rFonts w:ascii="Arial" w:cs="Arial" w:eastAsia="Arial" w:hAnsi="Arial"/>
          <w:sz w:val="18"/>
          <w:szCs w:val="18"/>
          <w:color w:val="auto"/>
        </w:rPr>
        <w:t>The Company is subject to taxation in the U.S. and the UK. The Company’s federal and state returns since inception are subject to examination due to the carryover of net operating losses. The Company has not been, nor is it currently, under examination by any tax authorities. The UK tax returns from 2018 and forward are subject to examination by the UK tax authorities.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140" w:firstLine="449"/>
        <w:spacing w:after="0" w:line="268" w:lineRule="auto"/>
        <w:rPr>
          <w:sz w:val="20"/>
          <w:szCs w:val="20"/>
          <w:color w:val="auto"/>
        </w:rPr>
      </w:pPr>
      <w:r>
        <w:rPr>
          <w:rFonts w:ascii="Arial" w:cs="Arial" w:eastAsia="Arial" w:hAnsi="Arial"/>
          <w:sz w:val="18"/>
          <w:szCs w:val="18"/>
          <w:color w:val="auto"/>
        </w:rPr>
        <w:t>The Company evaluated subsequent events for recognition and measurement purposes through October 1, 2021, the date the financial statements were available for issuance.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Related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January 2021, the Company appointed James McArthur as its Chief Executive Officer and Executive Board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9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During the period March 2021 through April 2021, the Company granted an aggregate of 624,964 ISOs and NSOs to certain of its employees and nonemployees under the 2020 Plan. A total of 86,772 options were granted with an exercise price equal to par value and 7,330 with an exercise price of $4.87. The remaining 530,862 options were granted based on the fair value of the Company’s common stock at an exercise price of $2.66 per share. Additionally, in August and September 2021, the Company granted an aggregate of 764,276 ISOs and NSOs to certain of its employees and nonemployees under the 2020 Plan, each with an exercise price of $8.80 per share. On September 27, 2021, the Company granted an aggregate of 34,658 ISOs and NSOs to certain of its employees and nonemployees under the 2020 Plan, each with an exercise price of $11.56 per share.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A-2 Milestone Closing</w:t>
      </w:r>
    </w:p>
    <w:p>
      <w:pPr>
        <w:spacing w:after="0" w:line="9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May 2021, upon the completion of the first of two defined Milestone Closings outlined in the Series A Stock Purchase Agreement, the Company sold 1,400,558 shares of Series A-2 convertible preferred stock at $11.42 per share for aggregate gross proceeds of $16.0 million. In July 2021, in advance of the Series B convertible preferred stock financing, the existing Series A-2 convertible preferred stockholders exercised their right to purchase the remaining Milestone Closing shares and the Company sold 1,838,233 shares of Series A-2 convertible preferred stock at $11.42 per share for aggregate gross proceeds of $21.0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 Funding</w:t>
      </w:r>
    </w:p>
    <w:p>
      <w:pPr>
        <w:spacing w:after="0" w:line="90"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In July 2021, the Company sold 7,234,766 shares of Series B convertible preferred stock in a single closing to new and existing investors at $15.55 per share for aggregate gross proceeds of $112.5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90" w:lineRule="exact"/>
        <w:rPr>
          <w:sz w:val="20"/>
          <w:szCs w:val="20"/>
          <w:color w:val="auto"/>
        </w:rPr>
      </w:pPr>
    </w:p>
    <w:p>
      <w:pPr>
        <w:ind w:right="680" w:firstLine="449"/>
        <w:spacing w:after="0" w:line="369" w:lineRule="auto"/>
        <w:rPr>
          <w:sz w:val="20"/>
          <w:szCs w:val="20"/>
          <w:color w:val="auto"/>
        </w:rPr>
      </w:pPr>
      <w:r>
        <w:rPr>
          <w:rFonts w:ascii="Arial" w:cs="Arial" w:eastAsia="Arial" w:hAnsi="Arial"/>
          <w:sz w:val="15"/>
          <w:szCs w:val="15"/>
          <w:color w:val="auto"/>
        </w:rPr>
        <w:t>In September 2021, the Company entered into a lease for laboratory space in Hopkinton, Massachusetts. The lease is expected to commence in December 2021 and expires in December 2026. Lease payments start at a rate of $0.1 million per year and are subject to an annual 2.5% increase.</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32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PAR VALUE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June 30,</w:t>
            </w:r>
          </w:p>
        </w:tc>
        <w:tc>
          <w:tcPr>
            <w:tcW w:w="0" w:type="dxa"/>
            <w:vAlign w:val="bottom"/>
          </w:tcPr>
          <w:p>
            <w:pPr>
              <w:spacing w:after="0"/>
              <w:rPr>
                <w:sz w:val="1"/>
                <w:szCs w:val="1"/>
                <w:color w:val="auto"/>
              </w:rPr>
            </w:pPr>
          </w:p>
        </w:tc>
      </w:tr>
      <w:tr>
        <w:trPr>
          <w:trHeight w:val="228"/>
        </w:trPr>
        <w:tc>
          <w:tcPr>
            <w:tcW w:w="8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2020</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16,326</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w:t>
            </w: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Accounts payable (including related party amounts of $57 and $127, respectively)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8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838</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warrant liability</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Series A-1 convertible preferred stock, $0.0001 par value; 1,372,970 shares authorized, issued,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December 31, 2020 and June 30, 2021; $6.4 million liquidation preference as of</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2020 and June 30, 2021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08"/>
        </w:trPr>
        <w:tc>
          <w:tcPr>
            <w:tcW w:w="8360" w:type="dxa"/>
            <w:vAlign w:val="bottom"/>
          </w:tcPr>
          <w:p>
            <w:pPr>
              <w:spacing w:after="0"/>
              <w:rPr>
                <w:sz w:val="20"/>
                <w:szCs w:val="20"/>
                <w:color w:val="auto"/>
              </w:rPr>
            </w:pPr>
            <w:r>
              <w:rPr>
                <w:rFonts w:ascii="Arial" w:cs="Arial" w:eastAsia="Arial" w:hAnsi="Arial"/>
                <w:sz w:val="18"/>
                <w:szCs w:val="18"/>
                <w:color w:val="auto"/>
                <w:w w:val="97"/>
              </w:rPr>
              <w:t>Series A-2 convertible preferred stock, $0.0001 par value; 3,974,598 shares authorized as of December 31,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w w:val="96"/>
              </w:rPr>
              <w:t>2020 and June 30, 2021; 700,278 and 2,100,836 shares issued and outstanding as of December 31, 2020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220"/>
              <w:spacing w:after="0"/>
              <w:rPr>
                <w:sz w:val="20"/>
                <w:szCs w:val="20"/>
                <w:color w:val="auto"/>
              </w:rPr>
            </w:pPr>
            <w:r>
              <w:rPr>
                <w:rFonts w:ascii="Arial" w:cs="Arial" w:eastAsia="Arial" w:hAnsi="Arial"/>
                <w:sz w:val="18"/>
                <w:szCs w:val="18"/>
                <w:color w:val="auto"/>
              </w:rPr>
              <w:t>and June 30, 2021, respectively; $8.0 million and $24.0 million liquidation preference as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December 31, 2020 and June 30, 2021, respectively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7,680</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23,659</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60" w:type="dxa"/>
            <w:vAlign w:val="bottom"/>
          </w:tcPr>
          <w:p>
            <w:pPr>
              <w:spacing w:after="0"/>
              <w:rPr>
                <w:sz w:val="20"/>
                <w:szCs w:val="20"/>
                <w:color w:val="auto"/>
              </w:rPr>
            </w:pPr>
            <w:r>
              <w:rPr>
                <w:rFonts w:ascii="Arial" w:cs="Arial" w:eastAsia="Arial" w:hAnsi="Arial"/>
                <w:sz w:val="18"/>
                <w:szCs w:val="18"/>
                <w:color w:val="auto"/>
              </w:rPr>
              <w:t>Class A common stock, $0.0001 par value; 7,800,000 shares authorized as of December 31, 2020 and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June 30, 2021; 910,160 shares issued and outstanding as of December 31, 2020 and June 30, 2021</w:t>
            </w:r>
          </w:p>
        </w:tc>
        <w:tc>
          <w:tcPr>
            <w:tcW w:w="200" w:type="dxa"/>
            <w:vAlign w:val="bottom"/>
          </w:tcPr>
          <w:p>
            <w:pPr>
              <w:spacing w:after="0"/>
              <w:rPr>
                <w:sz w:val="19"/>
                <w:szCs w:val="19"/>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$0.00001 par value; 571,430 shares authorized as of December 31, 2020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2021; zero shares issued and outstanding as of December 31, 2020 and June 30, 2021</w:t>
            </w: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rPr>
              <w:t>(6,471)</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(18,496)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(6,360)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(17,845)</w:t>
            </w:r>
          </w:p>
        </w:tc>
        <w:tc>
          <w:tcPr>
            <w:tcW w:w="0" w:type="dxa"/>
            <w:vAlign w:val="bottom"/>
          </w:tcPr>
          <w:p>
            <w:pPr>
              <w:spacing w:after="0"/>
              <w:rPr>
                <w:sz w:val="1"/>
                <w:szCs w:val="1"/>
                <w:color w:val="auto"/>
              </w:rPr>
            </w:pPr>
          </w:p>
        </w:tc>
      </w:tr>
      <w:tr>
        <w:trPr>
          <w:trHeight w:val="222"/>
        </w:trPr>
        <w:tc>
          <w:tcPr>
            <w:tcW w:w="836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OPERATIONS</w:t>
      </w:r>
    </w:p>
    <w:p>
      <w:pPr>
        <w:ind w:left="2940"/>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Six Months Ended</w:t>
            </w:r>
          </w:p>
        </w:tc>
        <w:tc>
          <w:tcPr>
            <w:tcW w:w="0" w:type="dxa"/>
            <w:vAlign w:val="bottom"/>
          </w:tcPr>
          <w:p>
            <w:pPr>
              <w:spacing w:after="0"/>
              <w:rPr>
                <w:sz w:val="1"/>
                <w:szCs w:val="1"/>
                <w:color w:val="auto"/>
              </w:rPr>
            </w:pPr>
          </w:p>
        </w:tc>
      </w:tr>
      <w:tr>
        <w:trPr>
          <w:trHeight w:val="229"/>
        </w:trPr>
        <w:tc>
          <w:tcPr>
            <w:tcW w:w="9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9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2020</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tcPr>
          <w:p>
            <w:pPr>
              <w:ind w:left="880"/>
              <w:spacing w:after="0"/>
              <w:rPr>
                <w:sz w:val="20"/>
                <w:szCs w:val="20"/>
                <w:color w:val="auto"/>
              </w:rPr>
            </w:pPr>
            <w:r>
              <w:rPr>
                <w:rFonts w:ascii="Arial" w:cs="Arial" w:eastAsia="Arial" w:hAnsi="Arial"/>
                <w:sz w:val="18"/>
                <w:szCs w:val="18"/>
                <w:color w:val="auto"/>
              </w:rPr>
              <w:t>Research and development (including related party amounts of $57 and $452,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(11,820)</w:t>
            </w:r>
          </w:p>
        </w:tc>
        <w:tc>
          <w:tcPr>
            <w:tcW w:w="0" w:type="dxa"/>
            <w:vAlign w:val="bottom"/>
          </w:tcPr>
          <w:p>
            <w:pPr>
              <w:spacing w:after="0"/>
              <w:rPr>
                <w:sz w:val="1"/>
                <w:szCs w:val="1"/>
                <w:color w:val="auto"/>
              </w:rPr>
            </w:pPr>
          </w:p>
        </w:tc>
      </w:tr>
      <w:tr>
        <w:trPr>
          <w:trHeight w:val="282"/>
        </w:trPr>
        <w:tc>
          <w:tcPr>
            <w:tcW w:w="93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340" w:type="dxa"/>
            <w:vAlign w:val="bottom"/>
          </w:tcPr>
          <w:p>
            <w:pPr>
              <w:ind w:left="88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934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(12,025)</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0"/>
        </w:trPr>
        <w:tc>
          <w:tcPr>
            <w:tcW w:w="934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881,560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910,160</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3"/>
              </w:rPr>
              <w:t>Six Months Ended</w:t>
            </w:r>
          </w:p>
        </w:tc>
      </w:tr>
      <w:tr>
        <w:trPr>
          <w:trHeight w:val="229"/>
        </w:trPr>
        <w:tc>
          <w:tcPr>
            <w:tcW w:w="9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9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2020</w:t>
            </w:r>
          </w:p>
        </w:tc>
        <w:tc>
          <w:tcPr>
            <w:tcW w:w="420" w:type="dxa"/>
            <w:vAlign w:val="bottom"/>
            <w:tcBorders>
              <w:top w:val="single" w:sz="8" w:color="auto"/>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09"/>
        </w:trPr>
        <w:tc>
          <w:tcPr>
            <w:tcW w:w="9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(12,025)</w:t>
            </w:r>
          </w:p>
        </w:tc>
        <w:tc>
          <w:tcPr>
            <w:tcW w:w="10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Cumulative translation adjustment arising during the period</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(249)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7"/>
        </w:trPr>
        <w:tc>
          <w:tcPr>
            <w:tcW w:w="9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(12,002)</w:t>
            </w:r>
          </w:p>
        </w:tc>
      </w:tr>
      <w:tr>
        <w:trPr>
          <w:trHeight w:val="20"/>
        </w:trPr>
        <w:tc>
          <w:tcPr>
            <w:tcW w:w="9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880" w:type="dxa"/>
            <w:vAlign w:val="bottom"/>
            <w:gridSpan w:val="5"/>
          </w:tcPr>
          <w:p>
            <w:pPr>
              <w:jc w:val="center"/>
              <w:ind w:left="93"/>
              <w:spacing w:after="0"/>
              <w:rPr>
                <w:sz w:val="20"/>
                <w:szCs w:val="20"/>
                <w:color w:val="auto"/>
              </w:rPr>
            </w:pPr>
            <w:r>
              <w:rPr>
                <w:rFonts w:ascii="Arial" w:cs="Arial" w:eastAsia="Arial" w:hAnsi="Arial"/>
                <w:sz w:val="13"/>
                <w:szCs w:val="13"/>
                <w:b w:val="1"/>
                <w:bCs w:val="1"/>
                <w:color w:val="auto"/>
                <w:w w:val="94"/>
              </w:rPr>
              <w:t>Series A-1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6"/>
          </w:tcPr>
          <w:p>
            <w:pPr>
              <w:jc w:val="center"/>
              <w:spacing w:after="0"/>
              <w:rPr>
                <w:sz w:val="20"/>
                <w:szCs w:val="20"/>
                <w:color w:val="auto"/>
              </w:rPr>
            </w:pPr>
            <w:r>
              <w:rPr>
                <w:rFonts w:ascii="Arial" w:cs="Arial" w:eastAsia="Arial" w:hAnsi="Arial"/>
                <w:sz w:val="13"/>
                <w:szCs w:val="13"/>
                <w:b w:val="1"/>
                <w:bCs w:val="1"/>
                <w:color w:val="auto"/>
                <w:w w:val="91"/>
              </w:rPr>
              <w:t>Series A-2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ind w:left="8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880" w:type="dxa"/>
            <w:vAlign w:val="bottom"/>
            <w:gridSpan w:val="5"/>
          </w:tcPr>
          <w:p>
            <w:pPr>
              <w:jc w:val="center"/>
              <w:ind w:left="93"/>
              <w:spacing w:after="0"/>
              <w:rPr>
                <w:sz w:val="20"/>
                <w:szCs w:val="20"/>
                <w:color w:val="auto"/>
              </w:rPr>
            </w:pPr>
            <w:r>
              <w:rPr>
                <w:rFonts w:ascii="Arial" w:cs="Arial" w:eastAsia="Arial" w:hAnsi="Arial"/>
                <w:sz w:val="13"/>
                <w:szCs w:val="13"/>
                <w:b w:val="1"/>
                <w:bCs w:val="1"/>
                <w:color w:val="auto"/>
                <w:w w:val="95"/>
              </w:rPr>
              <w:t>Convertible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6"/>
          </w:tcPr>
          <w:p>
            <w:pPr>
              <w:jc w:val="center"/>
              <w:spacing w:after="0"/>
              <w:rPr>
                <w:sz w:val="20"/>
                <w:szCs w:val="20"/>
                <w:color w:val="auto"/>
              </w:rPr>
            </w:pPr>
            <w:r>
              <w:rPr>
                <w:rFonts w:ascii="Arial" w:cs="Arial" w:eastAsia="Arial" w:hAnsi="Arial"/>
                <w:sz w:val="13"/>
                <w:szCs w:val="13"/>
                <w:b w:val="1"/>
                <w:bCs w:val="1"/>
                <w:color w:val="auto"/>
                <w:w w:val="95"/>
              </w:rPr>
              <w:t>Convertible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87"/>
              </w:rPr>
              <w:t>Class 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7"/>
              </w:rPr>
              <w:t>Class B</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6"/>
          </w:tcPr>
          <w:p>
            <w:pPr>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1120" w:type="dxa"/>
            <w:vAlign w:val="bottom"/>
            <w:gridSpan w:val="7"/>
          </w:tcPr>
          <w:p>
            <w:pPr>
              <w:jc w:val="center"/>
              <w:ind w:right="13"/>
              <w:spacing w:after="0"/>
              <w:rPr>
                <w:sz w:val="20"/>
                <w:szCs w:val="20"/>
                <w:color w:val="auto"/>
              </w:rPr>
            </w:pPr>
            <w:r>
              <w:rPr>
                <w:rFonts w:ascii="Arial" w:cs="Arial" w:eastAsia="Arial" w:hAnsi="Arial"/>
                <w:sz w:val="13"/>
                <w:szCs w:val="13"/>
                <w:b w:val="1"/>
                <w:bCs w:val="1"/>
                <w:color w:val="auto"/>
                <w:w w:val="94"/>
              </w:rPr>
              <w:t>Preferred Stock</w:t>
            </w:r>
          </w:p>
        </w:tc>
        <w:tc>
          <w:tcPr>
            <w:tcW w:w="80" w:type="dxa"/>
            <w:vAlign w:val="bottom"/>
          </w:tcPr>
          <w:p>
            <w:pPr>
              <w:spacing w:after="0"/>
              <w:rPr>
                <w:sz w:val="14"/>
                <w:szCs w:val="14"/>
                <w:color w:val="auto"/>
              </w:rPr>
            </w:pPr>
          </w:p>
        </w:tc>
        <w:tc>
          <w:tcPr>
            <w:tcW w:w="980" w:type="dxa"/>
            <w:vAlign w:val="bottom"/>
            <w:gridSpan w:val="6"/>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7"/>
          </w:tcPr>
          <w:p>
            <w:pPr>
              <w:jc w:val="center"/>
              <w:ind w:left="53"/>
              <w:spacing w:after="0"/>
              <w:rPr>
                <w:sz w:val="20"/>
                <w:szCs w:val="20"/>
                <w:color w:val="auto"/>
              </w:rPr>
            </w:pPr>
            <w:r>
              <w:rPr>
                <w:rFonts w:ascii="Arial" w:cs="Arial" w:eastAsia="Arial" w:hAnsi="Arial"/>
                <w:sz w:val="13"/>
                <w:szCs w:val="13"/>
                <w:b w:val="1"/>
                <w:bCs w:val="1"/>
                <w:color w:val="auto"/>
                <w:w w:val="96"/>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10"/>
          </w:tcPr>
          <w:p>
            <w:pPr>
              <w:jc w:val="center"/>
              <w:ind w:right="40"/>
              <w:spacing w:after="0"/>
              <w:rPr>
                <w:sz w:val="20"/>
                <w:szCs w:val="20"/>
                <w:color w:val="auto"/>
              </w:rPr>
            </w:pPr>
            <w:r>
              <w:rPr>
                <w:rFonts w:ascii="Arial" w:cs="Arial" w:eastAsia="Arial" w:hAnsi="Arial"/>
                <w:sz w:val="13"/>
                <w:szCs w:val="13"/>
                <w:b w:val="1"/>
                <w:bCs w:val="1"/>
                <w:color w:val="auto"/>
                <w:w w:val="98"/>
              </w:rPr>
              <w:t>Common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4"/>
                <w:szCs w:val="14"/>
                <w:color w:val="auto"/>
              </w:rPr>
            </w:pPr>
          </w:p>
        </w:tc>
        <w:tc>
          <w:tcPr>
            <w:tcW w:w="90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3"/>
                <w:szCs w:val="13"/>
                <w:b w:val="1"/>
                <w:bCs w:val="1"/>
                <w:color w:val="auto"/>
                <w:w w:val="85"/>
              </w:rPr>
              <w:t>Amount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82"/>
              </w:rPr>
              <w:t>Shares</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77"/>
              </w:rPr>
              <w:t>Amount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33"/>
              <w:spacing w:after="0" w:line="142"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Arial" w:cs="Arial" w:eastAsia="Arial" w:hAnsi="Arial"/>
                <w:sz w:val="13"/>
                <w:szCs w:val="13"/>
                <w:b w:val="1"/>
                <w:bCs w:val="1"/>
                <w:color w:val="auto"/>
                <w:w w:val="92"/>
              </w:rPr>
              <w:t>Shares</w:t>
            </w: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33"/>
              <w:spacing w:after="0" w:line="142" w:lineRule="exact"/>
              <w:rPr>
                <w:sz w:val="20"/>
                <w:szCs w:val="20"/>
                <w:color w:val="auto"/>
              </w:rPr>
            </w:pPr>
            <w:r>
              <w:rPr>
                <w:rFonts w:ascii="Arial" w:cs="Arial" w:eastAsia="Arial" w:hAnsi="Arial"/>
                <w:sz w:val="13"/>
                <w:szCs w:val="13"/>
                <w:b w:val="1"/>
                <w:bCs w:val="1"/>
                <w:color w:val="auto"/>
                <w:w w:val="96"/>
              </w:rPr>
              <w:t>Capital</w:t>
            </w:r>
          </w:p>
        </w:tc>
        <w:tc>
          <w:tcPr>
            <w:tcW w:w="1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3"/>
                <w:szCs w:val="13"/>
                <w:b w:val="1"/>
                <w:bCs w:val="1"/>
                <w:color w:val="auto"/>
                <w:w w:val="85"/>
              </w:rPr>
              <w:t>Loss</w:t>
            </w:r>
          </w:p>
        </w:tc>
        <w:tc>
          <w:tcPr>
            <w:tcW w:w="18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CCEEFF"/>
            </w:tcBorders>
            <w:gridSpan w:val="2"/>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rPr>
              <w:t>Equity</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jc w:val="center"/>
              <w:ind w:right="433"/>
              <w:spacing w:after="0" w:line="142" w:lineRule="exact"/>
              <w:rPr>
                <w:sz w:val="20"/>
                <w:szCs w:val="20"/>
                <w:color w:val="auto"/>
              </w:rPr>
            </w:pPr>
            <w:r>
              <w:rPr>
                <w:rFonts w:ascii="Arial" w:cs="Arial" w:eastAsia="Arial" w:hAnsi="Arial"/>
                <w:sz w:val="13"/>
                <w:szCs w:val="13"/>
                <w:b w:val="1"/>
                <w:bCs w:val="1"/>
                <w:color w:val="auto"/>
                <w:w w:val="91"/>
              </w:rPr>
              <w:t>Balance as of December 30, 2019</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1,801,540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center"/>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60"/>
              <w:spacing w:after="0" w:line="142" w:lineRule="exact"/>
              <w:rPr>
                <w:sz w:val="20"/>
                <w:szCs w:val="20"/>
                <w:color w:val="auto"/>
              </w:rPr>
            </w:pPr>
            <w:r>
              <w:rPr>
                <w:rFonts w:ascii="Arial" w:cs="Arial" w:eastAsia="Arial" w:hAnsi="Arial"/>
                <w:sz w:val="13"/>
                <w:szCs w:val="13"/>
                <w:color w:val="auto"/>
                <w:w w:val="85"/>
              </w:rPr>
              <w:t>571,430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6,269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(2,394)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3,867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440"/>
              <w:spacing w:after="0"/>
              <w:rPr>
                <w:sz w:val="20"/>
                <w:szCs w:val="20"/>
                <w:color w:val="auto"/>
              </w:rPr>
            </w:pPr>
            <w:r>
              <w:rPr>
                <w:rFonts w:ascii="Arial" w:cs="Arial" w:eastAsia="Arial" w:hAnsi="Arial"/>
                <w:sz w:val="13"/>
                <w:szCs w:val="13"/>
                <w:color w:val="auto"/>
              </w:rPr>
              <w:t>Issuance costs of common stock</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3"/>
          </w:tcPr>
          <w:p>
            <w:pPr>
              <w:jc w:val="center"/>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53"/>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(755)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38"/>
        </w:trPr>
        <w:tc>
          <w:tcPr>
            <w:tcW w:w="11240" w:type="dxa"/>
            <w:vAlign w:val="bottom"/>
            <w:gridSpan w:val="60"/>
          </w:tcPr>
          <w:p>
            <w:pPr>
              <w:ind w:left="440"/>
              <w:spacing w:after="0" w:line="138" w:lineRule="exact"/>
              <w:rPr>
                <w:sz w:val="20"/>
                <w:szCs w:val="20"/>
                <w:color w:val="auto"/>
              </w:rPr>
            </w:pPr>
            <w:r>
              <w:rPr>
                <w:rFonts w:ascii="Arial" w:cs="Arial" w:eastAsia="Arial" w:hAnsi="Arial"/>
                <w:sz w:val="13"/>
                <w:szCs w:val="13"/>
                <w:color w:val="auto"/>
              </w:rPr>
              <w:t>Foreign currency translation</w:t>
            </w:r>
          </w:p>
        </w:tc>
        <w:tc>
          <w:tcPr>
            <w:tcW w:w="0" w:type="dxa"/>
            <w:vAlign w:val="bottom"/>
          </w:tcPr>
          <w:p>
            <w:pPr>
              <w:spacing w:after="0"/>
              <w:rPr>
                <w:sz w:val="1"/>
                <w:szCs w:val="1"/>
                <w:color w:val="auto"/>
              </w:rPr>
            </w:pPr>
          </w:p>
        </w:tc>
      </w:tr>
      <w:tr>
        <w:trPr>
          <w:trHeight w:val="159"/>
        </w:trPr>
        <w:tc>
          <w:tcPr>
            <w:tcW w:w="2380" w:type="dxa"/>
            <w:vAlign w:val="bottom"/>
          </w:tcPr>
          <w:p>
            <w:pPr>
              <w:jc w:val="center"/>
              <w:ind w:right="413"/>
              <w:spacing w:after="0"/>
              <w:rPr>
                <w:sz w:val="20"/>
                <w:szCs w:val="20"/>
                <w:color w:val="auto"/>
              </w:rPr>
            </w:pPr>
            <w:r>
              <w:rPr>
                <w:rFonts w:ascii="Arial" w:cs="Arial" w:eastAsia="Arial" w:hAnsi="Arial"/>
                <w:sz w:val="13"/>
                <w:szCs w:val="13"/>
                <w:color w:val="auto"/>
                <w:w w:val="91"/>
              </w:rPr>
              <w:t>adjustment</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3"/>
          </w:tcPr>
          <w:p>
            <w:pPr>
              <w:jc w:val="center"/>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27"/>
        </w:trPr>
        <w:tc>
          <w:tcPr>
            <w:tcW w:w="3400" w:type="dxa"/>
            <w:vAlign w:val="bottom"/>
            <w:tcBorders>
              <w:right w:val="single" w:sz="8" w:color="auto"/>
            </w:tcBorders>
            <w:gridSpan w:val="7"/>
          </w:tcPr>
          <w:p>
            <w:pPr>
              <w:spacing w:after="0"/>
              <w:rPr>
                <w:sz w:val="2"/>
                <w:szCs w:val="2"/>
                <w:color w:val="auto"/>
              </w:rPr>
            </w:pPr>
          </w:p>
        </w:tc>
        <w:tc>
          <w:tcPr>
            <w:tcW w:w="1160" w:type="dxa"/>
            <w:vAlign w:val="bottom"/>
            <w:gridSpan w:val="8"/>
          </w:tcPr>
          <w:p>
            <w:pPr>
              <w:spacing w:after="0"/>
              <w:rPr>
                <w:sz w:val="2"/>
                <w:szCs w:val="2"/>
                <w:color w:val="auto"/>
              </w:rPr>
            </w:pPr>
          </w:p>
        </w:tc>
        <w:tc>
          <w:tcPr>
            <w:tcW w:w="2900" w:type="dxa"/>
            <w:vAlign w:val="bottom"/>
            <w:tcBorders>
              <w:left w:val="single" w:sz="8" w:color="auto"/>
            </w:tcBorders>
            <w:gridSpan w:val="23"/>
          </w:tcPr>
          <w:p>
            <w:pPr>
              <w:spacing w:after="0"/>
              <w:rPr>
                <w:sz w:val="2"/>
                <w:szCs w:val="2"/>
                <w:color w:val="auto"/>
              </w:rPr>
            </w:pPr>
          </w:p>
        </w:tc>
        <w:tc>
          <w:tcPr>
            <w:tcW w:w="3780" w:type="dxa"/>
            <w:vAlign w:val="bottom"/>
            <w:tcBorders>
              <w:left w:val="single" w:sz="8" w:color="auto"/>
            </w:tcBorders>
            <w:gridSpan w:val="2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3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June 30, 2020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left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3"/>
                <w:szCs w:val="13"/>
                <w:color w:val="auto"/>
              </w:rPr>
              <w:t>1,801,540</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center"/>
              <w:ind w:right="160"/>
              <w:spacing w:after="0"/>
              <w:rPr>
                <w:sz w:val="20"/>
                <w:szCs w:val="20"/>
                <w:color w:val="auto"/>
              </w:rPr>
            </w:pPr>
            <w:r>
              <w:rPr>
                <w:rFonts w:ascii="Arial" w:cs="Arial" w:eastAsia="Arial" w:hAnsi="Arial"/>
                <w:sz w:val="13"/>
                <w:szCs w:val="13"/>
                <w:color w:val="auto"/>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571,430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6,266</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(3,149)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2,860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7"/>
          </w:tcPr>
          <w:p>
            <w:pPr>
              <w:jc w:val="right"/>
              <w:ind w:right="400"/>
              <w:spacing w:after="0"/>
              <w:rPr>
                <w:sz w:val="20"/>
                <w:szCs w:val="20"/>
                <w:color w:val="auto"/>
              </w:rPr>
            </w:pPr>
            <w:r>
              <w:rPr>
                <w:rFonts w:ascii="Arial" w:cs="Arial" w:eastAsia="Arial" w:hAnsi="Arial"/>
                <w:sz w:val="13"/>
                <w:szCs w:val="13"/>
                <w:b w:val="1"/>
                <w:bCs w:val="1"/>
                <w:color w:val="auto"/>
                <w:w w:val="97"/>
              </w:rPr>
              <w:t>Series A-1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right"/>
              <w:ind w:right="233"/>
              <w:spacing w:after="0"/>
              <w:rPr>
                <w:sz w:val="20"/>
                <w:szCs w:val="20"/>
                <w:color w:val="auto"/>
              </w:rPr>
            </w:pPr>
            <w:r>
              <w:rPr>
                <w:rFonts w:ascii="Arial" w:cs="Arial" w:eastAsia="Arial" w:hAnsi="Arial"/>
                <w:sz w:val="13"/>
                <w:szCs w:val="13"/>
                <w:b w:val="1"/>
                <w:bCs w:val="1"/>
                <w:color w:val="auto"/>
                <w:w w:val="97"/>
              </w:rPr>
              <w:t>Series A-2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8"/>
          </w:tcPr>
          <w:p>
            <w:pPr>
              <w:ind w:left="140"/>
              <w:spacing w:after="0"/>
              <w:rPr>
                <w:sz w:val="20"/>
                <w:szCs w:val="20"/>
                <w:color w:val="auto"/>
              </w:rPr>
            </w:pPr>
            <w:r>
              <w:rPr>
                <w:rFonts w:ascii="Arial" w:cs="Arial" w:eastAsia="Arial" w:hAnsi="Arial"/>
                <w:sz w:val="13"/>
                <w:szCs w:val="13"/>
                <w:b w:val="1"/>
                <w:bCs w:val="1"/>
                <w:color w:val="auto"/>
              </w:rPr>
              <w:t>Convertible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right"/>
              <w:ind w:right="173"/>
              <w:spacing w:after="0"/>
              <w:rPr>
                <w:sz w:val="20"/>
                <w:szCs w:val="20"/>
                <w:color w:val="auto"/>
              </w:rPr>
            </w:pPr>
            <w:r>
              <w:rPr>
                <w:rFonts w:ascii="Arial" w:cs="Arial" w:eastAsia="Arial" w:hAnsi="Arial"/>
                <w:sz w:val="13"/>
                <w:szCs w:val="13"/>
                <w:b w:val="1"/>
                <w:bCs w:val="1"/>
                <w:color w:val="auto"/>
                <w:w w:val="95"/>
              </w:rPr>
              <w:t>Convertible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7"/>
              </w:rPr>
              <w:t>Class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6"/>
          </w:tcPr>
          <w:p>
            <w:pPr>
              <w:jc w:val="center"/>
              <w:ind w:right="40"/>
              <w:spacing w:after="0"/>
              <w:rPr>
                <w:sz w:val="20"/>
                <w:szCs w:val="20"/>
                <w:color w:val="auto"/>
              </w:rPr>
            </w:pPr>
            <w:r>
              <w:rPr>
                <w:rFonts w:ascii="Arial" w:cs="Arial" w:eastAsia="Arial" w:hAnsi="Arial"/>
                <w:sz w:val="13"/>
                <w:szCs w:val="13"/>
                <w:b w:val="1"/>
                <w:bCs w:val="1"/>
                <w:color w:val="auto"/>
                <w:w w:val="92"/>
              </w:rPr>
              <w:t>Class B</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tcPr>
          <w:p>
            <w:pPr>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8"/>
          </w:tcPr>
          <w:p>
            <w:pPr>
              <w:jc w:val="right"/>
              <w:ind w:right="240"/>
              <w:spacing w:after="0"/>
              <w:rPr>
                <w:sz w:val="20"/>
                <w:szCs w:val="20"/>
                <w:color w:val="auto"/>
              </w:rPr>
            </w:pPr>
            <w:r>
              <w:rPr>
                <w:rFonts w:ascii="Arial" w:cs="Arial" w:eastAsia="Arial" w:hAnsi="Arial"/>
                <w:sz w:val="13"/>
                <w:szCs w:val="13"/>
                <w:b w:val="1"/>
                <w:bCs w:val="1"/>
                <w:color w:val="auto"/>
                <w:w w:val="94"/>
              </w:rPr>
              <w:t>Preferred Stock</w:t>
            </w:r>
          </w:p>
        </w:tc>
        <w:tc>
          <w:tcPr>
            <w:tcW w:w="20" w:type="dxa"/>
            <w:vAlign w:val="bottom"/>
          </w:tcPr>
          <w:p>
            <w:pPr>
              <w:spacing w:after="0"/>
              <w:rPr>
                <w:sz w:val="14"/>
                <w:szCs w:val="14"/>
                <w:color w:val="auto"/>
              </w:rPr>
            </w:pPr>
          </w:p>
        </w:tc>
        <w:tc>
          <w:tcPr>
            <w:tcW w:w="1180" w:type="dxa"/>
            <w:vAlign w:val="bottom"/>
            <w:gridSpan w:val="6"/>
          </w:tcPr>
          <w:p>
            <w:pPr>
              <w:ind w:left="14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w w:val="94"/>
              </w:rPr>
              <w:t>Common Stock</w:t>
            </w:r>
          </w:p>
        </w:tc>
        <w:tc>
          <w:tcPr>
            <w:tcW w:w="104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2"/>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Paid-in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0"/>
              </w:rPr>
              <w:t>Accumulated</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13"/>
              <w:spacing w:after="0" w:line="142"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33"/>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3"/>
                <w:szCs w:val="13"/>
                <w:b w:val="1"/>
                <w:bCs w:val="1"/>
                <w:color w:val="auto"/>
                <w:w w:val="87"/>
              </w:rPr>
              <w:t>Shares</w:t>
            </w:r>
          </w:p>
        </w:tc>
        <w:tc>
          <w:tcPr>
            <w:tcW w:w="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33"/>
              <w:spacing w:after="0" w:line="142" w:lineRule="exact"/>
              <w:rPr>
                <w:sz w:val="20"/>
                <w:szCs w:val="20"/>
                <w:color w:val="auto"/>
              </w:rPr>
            </w:pPr>
            <w:r>
              <w:rPr>
                <w:rFonts w:ascii="Arial" w:cs="Arial" w:eastAsia="Arial" w:hAnsi="Arial"/>
                <w:sz w:val="13"/>
                <w:szCs w:val="13"/>
                <w:b w:val="1"/>
                <w:bCs w:val="1"/>
                <w:color w:val="auto"/>
                <w:w w:val="96"/>
              </w:rPr>
              <w:t>Capital</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3"/>
                <w:szCs w:val="13"/>
                <w:b w:val="1"/>
                <w:bCs w:val="1"/>
                <w:color w:val="auto"/>
                <w:w w:val="92"/>
              </w:rPr>
              <w:t>Income (Loss)</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jc w:val="center"/>
              <w:ind w:right="433"/>
              <w:spacing w:after="0" w:line="142" w:lineRule="exact"/>
              <w:rPr>
                <w:sz w:val="20"/>
                <w:szCs w:val="20"/>
                <w:color w:val="auto"/>
              </w:rPr>
            </w:pPr>
            <w:r>
              <w:rPr>
                <w:rFonts w:ascii="Arial" w:cs="Arial" w:eastAsia="Arial" w:hAnsi="Arial"/>
                <w:sz w:val="13"/>
                <w:szCs w:val="13"/>
                <w:b w:val="1"/>
                <w:bCs w:val="1"/>
                <w:color w:val="auto"/>
                <w:w w:val="91"/>
              </w:rPr>
              <w:t>Balance as of December 30, 2020</w:t>
            </w:r>
          </w:p>
        </w:tc>
        <w:tc>
          <w:tcPr>
            <w:tcW w:w="2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1,372,970</w:t>
            </w:r>
          </w:p>
        </w:tc>
        <w:tc>
          <w:tcPr>
            <w:tcW w:w="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8,454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700,278</w:t>
            </w:r>
          </w:p>
        </w:tc>
        <w:tc>
          <w:tcPr>
            <w:tcW w:w="120" w:type="dxa"/>
            <w:vAlign w:val="bottom"/>
            <w:tcBorders>
              <w:left w:val="single" w:sz="8" w:color="CCEEFF"/>
            </w:tcBorders>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w w:val="97"/>
              </w:rPr>
              <w:t>$  7,680</w:t>
            </w:r>
          </w:p>
        </w:tc>
        <w:tc>
          <w:tcPr>
            <w:tcW w:w="1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910,160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center"/>
              <w:spacing w:after="0" w:line="142" w:lineRule="exact"/>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55"/>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119</w:t>
            </w: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(8)</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(6,471)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(6,360)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40" w:type="dxa"/>
            <w:vAlign w:val="bottom"/>
            <w:gridSpan w:val="60"/>
          </w:tcPr>
          <w:p>
            <w:pPr>
              <w:ind w:left="440"/>
              <w:spacing w:after="0" w:line="138" w:lineRule="exact"/>
              <w:rPr>
                <w:sz w:val="20"/>
                <w:szCs w:val="20"/>
                <w:color w:val="auto"/>
              </w:rPr>
            </w:pPr>
            <w:r>
              <w:rPr>
                <w:rFonts w:ascii="Arial" w:cs="Arial" w:eastAsia="Arial" w:hAnsi="Arial"/>
                <w:sz w:val="13"/>
                <w:szCs w:val="13"/>
                <w:color w:val="auto"/>
                <w:w w:val="97"/>
              </w:rPr>
              <w:t>Issuance of Series A-2 convertible</w:t>
            </w:r>
          </w:p>
        </w:tc>
        <w:tc>
          <w:tcPr>
            <w:tcW w:w="0" w:type="dxa"/>
            <w:vAlign w:val="bottom"/>
          </w:tcPr>
          <w:p>
            <w:pPr>
              <w:spacing w:after="0"/>
              <w:rPr>
                <w:sz w:val="1"/>
                <w:szCs w:val="1"/>
                <w:color w:val="auto"/>
              </w:rPr>
            </w:pPr>
          </w:p>
        </w:tc>
      </w:tr>
      <w:tr>
        <w:trPr>
          <w:trHeight w:val="149"/>
        </w:trPr>
        <w:tc>
          <w:tcPr>
            <w:tcW w:w="11240" w:type="dxa"/>
            <w:vAlign w:val="bottom"/>
            <w:gridSpan w:val="60"/>
          </w:tcPr>
          <w:p>
            <w:pPr>
              <w:ind w:left="660"/>
              <w:spacing w:after="0"/>
              <w:rPr>
                <w:sz w:val="20"/>
                <w:szCs w:val="20"/>
                <w:color w:val="auto"/>
              </w:rPr>
            </w:pPr>
            <w:r>
              <w:rPr>
                <w:rFonts w:ascii="Arial" w:cs="Arial" w:eastAsia="Arial" w:hAnsi="Arial"/>
                <w:sz w:val="13"/>
                <w:szCs w:val="13"/>
                <w:color w:val="auto"/>
                <w:w w:val="93"/>
              </w:rPr>
              <w:t>preferred stock, net of issuance</w:t>
            </w:r>
          </w:p>
        </w:tc>
        <w:tc>
          <w:tcPr>
            <w:tcW w:w="0" w:type="dxa"/>
            <w:vAlign w:val="bottom"/>
          </w:tcPr>
          <w:p>
            <w:pPr>
              <w:spacing w:after="0"/>
              <w:rPr>
                <w:sz w:val="1"/>
                <w:szCs w:val="1"/>
                <w:color w:val="auto"/>
              </w:rPr>
            </w:pPr>
          </w:p>
        </w:tc>
      </w:tr>
      <w:tr>
        <w:trPr>
          <w:trHeight w:val="159"/>
        </w:trPr>
        <w:tc>
          <w:tcPr>
            <w:tcW w:w="2380" w:type="dxa"/>
            <w:vAlign w:val="bottom"/>
          </w:tcPr>
          <w:p>
            <w:pPr>
              <w:jc w:val="center"/>
              <w:ind w:right="393"/>
              <w:spacing w:after="0"/>
              <w:rPr>
                <w:sz w:val="20"/>
                <w:szCs w:val="20"/>
                <w:color w:val="auto"/>
              </w:rPr>
            </w:pPr>
            <w:r>
              <w:rPr>
                <w:rFonts w:ascii="Arial" w:cs="Arial" w:eastAsia="Arial" w:hAnsi="Arial"/>
                <w:sz w:val="13"/>
                <w:szCs w:val="13"/>
                <w:color w:val="auto"/>
                <w:w w:val="94"/>
              </w:rPr>
              <w:t>cost of $21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gridSpan w:val="4"/>
          </w:tcPr>
          <w:p>
            <w:pPr>
              <w:jc w:val="right"/>
              <w:spacing w:after="0"/>
              <w:rPr>
                <w:sz w:val="20"/>
                <w:szCs w:val="20"/>
                <w:color w:val="auto"/>
              </w:rPr>
            </w:pPr>
            <w:r>
              <w:rPr>
                <w:rFonts w:ascii="Arial" w:cs="Arial" w:eastAsia="Arial" w:hAnsi="Arial"/>
                <w:sz w:val="13"/>
                <w:szCs w:val="13"/>
                <w:color w:val="auto"/>
              </w:rPr>
              <w:t>1,400,558</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15,979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440"/>
              <w:spacing w:after="0"/>
              <w:rPr>
                <w:sz w:val="20"/>
                <w:szCs w:val="20"/>
                <w:color w:val="auto"/>
              </w:rPr>
            </w:pPr>
            <w:r>
              <w:rPr>
                <w:rFonts w:ascii="Arial" w:cs="Arial" w:eastAsia="Arial" w:hAnsi="Arial"/>
                <w:sz w:val="13"/>
                <w:szCs w:val="13"/>
                <w:color w:val="auto"/>
                <w:w w:val="91"/>
              </w:rPr>
              <w:t>Stock-based compensation expense</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517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48"/>
        </w:trPr>
        <w:tc>
          <w:tcPr>
            <w:tcW w:w="2380" w:type="dxa"/>
            <w:vAlign w:val="bottom"/>
          </w:tcPr>
          <w:p>
            <w:pPr>
              <w:ind w:left="440"/>
              <w:spacing w:after="0"/>
              <w:rPr>
                <w:sz w:val="20"/>
                <w:szCs w:val="20"/>
                <w:color w:val="auto"/>
              </w:rPr>
            </w:pPr>
            <w:r>
              <w:rPr>
                <w:rFonts w:ascii="Arial" w:cs="Arial" w:eastAsia="Arial" w:hAnsi="Arial"/>
                <w:sz w:val="13"/>
                <w:szCs w:val="13"/>
                <w:color w:val="auto"/>
              </w:rPr>
              <w:t>Net loss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(12,025)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(12,025)</w:t>
            </w:r>
          </w:p>
        </w:tc>
        <w:tc>
          <w:tcPr>
            <w:tcW w:w="0" w:type="dxa"/>
            <w:vAlign w:val="bottom"/>
          </w:tcPr>
          <w:p>
            <w:pPr>
              <w:spacing w:after="0"/>
              <w:rPr>
                <w:sz w:val="1"/>
                <w:szCs w:val="1"/>
                <w:color w:val="auto"/>
              </w:rPr>
            </w:pPr>
          </w:p>
        </w:tc>
      </w:tr>
      <w:tr>
        <w:trPr>
          <w:trHeight w:val="138"/>
        </w:trPr>
        <w:tc>
          <w:tcPr>
            <w:tcW w:w="3400" w:type="dxa"/>
            <w:vAlign w:val="bottom"/>
            <w:tcBorders>
              <w:right w:val="single" w:sz="8" w:color="CCEEFF"/>
            </w:tcBorders>
            <w:gridSpan w:val="7"/>
            <w:shd w:val="clear" w:color="auto" w:fill="CCEEFF"/>
          </w:tcPr>
          <w:p>
            <w:pPr>
              <w:ind w:left="440"/>
              <w:spacing w:after="0" w:line="138" w:lineRule="exact"/>
              <w:rPr>
                <w:sz w:val="20"/>
                <w:szCs w:val="20"/>
                <w:color w:val="auto"/>
              </w:rPr>
            </w:pPr>
            <w:r>
              <w:rPr>
                <w:rFonts w:ascii="Arial" w:cs="Arial" w:eastAsia="Arial" w:hAnsi="Arial"/>
                <w:sz w:val="13"/>
                <w:szCs w:val="13"/>
                <w:color w:val="auto"/>
              </w:rPr>
              <w:t>Foreign currency translation</w:t>
            </w:r>
          </w:p>
        </w:tc>
        <w:tc>
          <w:tcPr>
            <w:tcW w:w="1160" w:type="dxa"/>
            <w:vAlign w:val="bottom"/>
            <w:gridSpan w:val="8"/>
            <w:shd w:val="clear" w:color="auto" w:fill="CCEEFF"/>
          </w:tcPr>
          <w:p>
            <w:pPr>
              <w:spacing w:after="0"/>
              <w:rPr>
                <w:sz w:val="11"/>
                <w:szCs w:val="11"/>
                <w:color w:val="auto"/>
              </w:rPr>
            </w:pPr>
          </w:p>
        </w:tc>
        <w:tc>
          <w:tcPr>
            <w:tcW w:w="2900" w:type="dxa"/>
            <w:vAlign w:val="bottom"/>
            <w:tcBorders>
              <w:left w:val="single" w:sz="8" w:color="CCEEFF"/>
            </w:tcBorders>
            <w:gridSpan w:val="23"/>
            <w:shd w:val="clear" w:color="auto" w:fill="CCEEFF"/>
          </w:tcPr>
          <w:p>
            <w:pPr>
              <w:spacing w:after="0"/>
              <w:rPr>
                <w:sz w:val="11"/>
                <w:szCs w:val="11"/>
                <w:color w:val="auto"/>
              </w:rPr>
            </w:pPr>
          </w:p>
        </w:tc>
        <w:tc>
          <w:tcPr>
            <w:tcW w:w="3780" w:type="dxa"/>
            <w:vAlign w:val="bottom"/>
            <w:tcBorders>
              <w:left w:val="single" w:sz="8" w:color="CCEEFF"/>
            </w:tcBorders>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shd w:val="clear" w:color="auto" w:fill="CCEEFF"/>
          </w:tcPr>
          <w:p>
            <w:pPr>
              <w:jc w:val="center"/>
              <w:ind w:right="413"/>
              <w:spacing w:after="0"/>
              <w:rPr>
                <w:sz w:val="20"/>
                <w:szCs w:val="20"/>
                <w:color w:val="auto"/>
              </w:rPr>
            </w:pPr>
            <w:r>
              <w:rPr>
                <w:rFonts w:ascii="Arial" w:cs="Arial" w:eastAsia="Arial" w:hAnsi="Arial"/>
                <w:sz w:val="13"/>
                <w:szCs w:val="13"/>
                <w:color w:val="auto"/>
                <w:w w:val="91"/>
              </w:rPr>
              <w:t>adjustment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Balance as of June 30, 2021</w:t>
            </w:r>
          </w:p>
        </w:tc>
        <w:tc>
          <w:tcPr>
            <w:tcW w:w="2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w w:val="96"/>
              </w:rPr>
              <w:t>1,372,970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8,454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w w:val="96"/>
              </w:rPr>
              <w:t>2,100,836</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$ 23,659</w:t>
            </w:r>
          </w:p>
        </w:tc>
        <w:tc>
          <w:tcPr>
            <w:tcW w:w="620" w:type="dxa"/>
            <w:vAlign w:val="bottom"/>
            <w:gridSpan w:val="5"/>
          </w:tcPr>
          <w:p>
            <w:pPr>
              <w:jc w:val="right"/>
              <w:spacing w:after="0"/>
              <w:rPr>
                <w:sz w:val="20"/>
                <w:szCs w:val="20"/>
                <w:color w:val="auto"/>
              </w:rPr>
            </w:pPr>
            <w:r>
              <w:rPr>
                <w:rFonts w:ascii="Arial" w:cs="Arial" w:eastAsia="Arial" w:hAnsi="Arial"/>
                <w:sz w:val="13"/>
                <w:szCs w:val="13"/>
                <w:color w:val="auto"/>
              </w:rPr>
              <w:t>910,160</w:t>
            </w:r>
          </w:p>
        </w:tc>
        <w:tc>
          <w:tcPr>
            <w:tcW w:w="80" w:type="dxa"/>
            <w:vAlign w:val="bottom"/>
          </w:tcPr>
          <w:p>
            <w:pPr>
              <w:spacing w:after="0"/>
              <w:rPr>
                <w:sz w:val="13"/>
                <w:szCs w:val="13"/>
                <w:color w:val="auto"/>
              </w:rPr>
            </w:pPr>
          </w:p>
        </w:tc>
        <w:tc>
          <w:tcPr>
            <w:tcW w:w="14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560" w:type="dxa"/>
            <w:vAlign w:val="bottom"/>
            <w:gridSpan w:val="3"/>
          </w:tcPr>
          <w:p>
            <w:pPr>
              <w:jc w:val="right"/>
              <w:ind w:right="20"/>
              <w:spacing w:after="0"/>
              <w:rPr>
                <w:sz w:val="20"/>
                <w:szCs w:val="20"/>
                <w:color w:val="auto"/>
              </w:rPr>
            </w:pPr>
            <w:r>
              <w:rPr>
                <w:rFonts w:ascii="Arial" w:cs="Arial" w:eastAsia="Arial" w:hAnsi="Arial"/>
                <w:sz w:val="13"/>
                <w:szCs w:val="13"/>
                <w:color w:val="auto"/>
              </w:rPr>
              <w:t>636</w:t>
            </w:r>
          </w:p>
        </w:tc>
        <w:tc>
          <w:tcPr>
            <w:tcW w:w="180" w:type="dxa"/>
            <w:vAlign w:val="bottom"/>
            <w:gridSpan w:val="3"/>
          </w:tcPr>
          <w:p>
            <w:pPr>
              <w:ind w:left="100"/>
              <w:spacing w:after="0"/>
              <w:rPr>
                <w:sz w:val="20"/>
                <w:szCs w:val="20"/>
                <w:color w:val="auto"/>
              </w:rPr>
            </w:pPr>
            <w:r>
              <w:rPr>
                <w:rFonts w:ascii="Arial" w:cs="Arial" w:eastAsia="Arial" w:hAnsi="Arial"/>
                <w:sz w:val="13"/>
                <w:szCs w:val="13"/>
                <w:color w:val="auto"/>
                <w:w w:val="82"/>
              </w:rPr>
              <w:t>$</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15</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(18,496)</w:t>
            </w: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(17,845)</w:t>
            </w:r>
          </w:p>
        </w:tc>
        <w:tc>
          <w:tcPr>
            <w:tcW w:w="0" w:type="dxa"/>
            <w:vAlign w:val="bottom"/>
          </w:tcPr>
          <w:p>
            <w:pPr>
              <w:spacing w:after="0"/>
              <w:rPr>
                <w:sz w:val="1"/>
                <w:szCs w:val="1"/>
                <w:color w:val="auto"/>
              </w:rPr>
            </w:pPr>
          </w:p>
        </w:tc>
      </w:tr>
      <w:tr>
        <w:trPr>
          <w:trHeight w:val="20"/>
        </w:trPr>
        <w:tc>
          <w:tcPr>
            <w:tcW w:w="26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1"/>
        </w:trPr>
        <w:tc>
          <w:tcPr>
            <w:tcW w:w="73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(755)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(12,025)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Change in fair value of preferred stock warrant liability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880"/>
              <w:spacing w:after="0"/>
              <w:rPr>
                <w:sz w:val="20"/>
                <w:szCs w:val="20"/>
                <w:color w:val="auto"/>
              </w:rPr>
            </w:pPr>
            <w:r>
              <w:rPr>
                <w:rFonts w:ascii="Arial" w:cs="Arial" w:eastAsia="Arial" w:hAnsi="Arial"/>
                <w:sz w:val="18"/>
                <w:szCs w:val="18"/>
                <w:color w:val="auto"/>
              </w:rPr>
              <w:t>Other receivables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(545)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Prepaids and other current and non-current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7300" w:type="dxa"/>
            <w:vAlign w:val="bottom"/>
          </w:tcPr>
          <w:p>
            <w:pPr>
              <w:ind w:left="880"/>
              <w:spacing w:after="0"/>
              <w:rPr>
                <w:sz w:val="20"/>
                <w:szCs w:val="20"/>
                <w:color w:val="auto"/>
              </w:rPr>
            </w:pPr>
            <w:r>
              <w:rPr>
                <w:rFonts w:ascii="Arial" w:cs="Arial" w:eastAsia="Arial" w:hAnsi="Arial"/>
                <w:sz w:val="18"/>
                <w:szCs w:val="18"/>
                <w:color w:val="auto"/>
              </w:rPr>
              <w:t>Accounts payable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related party</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300" w:type="dxa"/>
            <w:vAlign w:val="bottom"/>
          </w:tcPr>
          <w:p>
            <w:pPr>
              <w:ind w:left="880"/>
              <w:spacing w:after="0"/>
              <w:rPr>
                <w:sz w:val="20"/>
                <w:szCs w:val="20"/>
                <w:color w:val="auto"/>
              </w:rPr>
            </w:pPr>
            <w:r>
              <w:rPr>
                <w:rFonts w:ascii="Arial" w:cs="Arial" w:eastAsia="Arial" w:hAnsi="Arial"/>
                <w:sz w:val="18"/>
                <w:szCs w:val="18"/>
                <w:color w:val="auto"/>
              </w:rPr>
              <w:t>Accrued expenses and other non-current liabilities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(8,965)</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form issuance of Series A-2 convertible preferred stock, net of issuance costs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15,988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Series B convertible preferred stock</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common stock</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Net cash (used in) provided by financing activities</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15,813</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Net (decrease) increase in cash</w:t>
            </w: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(1,075)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Cash at end of period</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2,416</w:t>
            </w:r>
          </w:p>
        </w:tc>
        <w:tc>
          <w:tcPr>
            <w:tcW w:w="4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16,326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7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accounts payable</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Series A-2 convertible preferred stock issuance costs included in accrued expenses</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 issuance costs included in accrued expenses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PEPGEN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96" w:lineRule="exact"/>
        <w:rPr>
          <w:sz w:val="20"/>
          <w:szCs w:val="20"/>
          <w:color w:val="auto"/>
        </w:rPr>
      </w:pPr>
    </w:p>
    <w:p>
      <w:pPr>
        <w:ind w:right="640" w:firstLine="449"/>
        <w:spacing w:after="0" w:line="331" w:lineRule="auto"/>
        <w:rPr>
          <w:sz w:val="20"/>
          <w:szCs w:val="20"/>
          <w:color w:val="auto"/>
        </w:rPr>
      </w:pPr>
      <w:r>
        <w:rPr>
          <w:rFonts w:ascii="Arial" w:cs="Arial" w:eastAsia="Arial" w:hAnsi="Arial"/>
          <w:sz w:val="16"/>
          <w:szCs w:val="16"/>
          <w:color w:val="auto"/>
        </w:rPr>
        <w:t>PepGen Inc., or the Company or PepGen, headquartered in Boston, Massachusetts, is a biopharmaceutical company developing a transformative oligonucleotide delivery technology to treat neuromuscular and neurologic diseases with a high unmet medical need.</w:t>
      </w:r>
    </w:p>
    <w:p>
      <w:pPr>
        <w:spacing w:after="0" w:line="87" w:lineRule="exact"/>
        <w:rPr>
          <w:sz w:val="20"/>
          <w:szCs w:val="20"/>
          <w:color w:val="auto"/>
        </w:rPr>
      </w:pPr>
    </w:p>
    <w:p>
      <w:pPr>
        <w:ind w:right="20" w:firstLine="449"/>
        <w:spacing w:after="0" w:line="312" w:lineRule="auto"/>
        <w:rPr>
          <w:sz w:val="20"/>
          <w:szCs w:val="20"/>
          <w:color w:val="auto"/>
        </w:rPr>
      </w:pPr>
      <w:r>
        <w:rPr>
          <w:rFonts w:ascii="Arial" w:cs="Arial" w:eastAsia="Arial" w:hAnsi="Arial"/>
          <w:sz w:val="15"/>
          <w:szCs w:val="15"/>
          <w:color w:val="auto"/>
        </w:rPr>
        <w:t>The Company was initially formed as PepGen Limited on January 25, 2018, in the United Kingdom, or the UK, On November 9, 2020, PepGen Limited completed a corporate reorganization, or the Reorganization. As part of the Reorganization, PepGen Limited formed PepGen Inc., a Delaware corporation with nominal assets and liabilities, for the purpose of consummating the Reorganization. In connection with the Reorganization, the existing stockholders of PepGen Limited exchanged each of its classes of shares of PepGen Limited for the same number and class of common stock of PepGen Inc. on a one-to-one basis. The newly issued stock of PepGen Inc. had substantially identical rights to the exchanged shares of PepGen Limited. As a result of the exchange, PepGen Inc. became the sole stockholder of PepGen Limited. Upon the completion of the Reorganization on November 23, 2020, the historical financial statements of PepGen Limited became the historical financial statements of PepGen Inc. as the Reorganization was deemed to be between entities under common control.</w:t>
      </w:r>
    </w:p>
    <w:p>
      <w:pPr>
        <w:spacing w:after="0" w:line="10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On November 24, 2020, the Company entered into a Series A Preferred Stock and Warrant Purchase Agreement, or the Stock Purchase Agreement. In connection with executing the Stock Purchase Agreement, the Company also amended and restated its certificate of incorporation, or the Restated Certificate of Incorporation. In accordance with the terms of the Stock Purchase Agreement, the Company agreed to issue an aggregate of 3,939,069 shares of Series A-2 convertible preferred stock to new and existing investors at a price of $11.42 per share, in three closings, and elected to convert 1,372,970 shares of outstanding Class A and Class B common stock into shares of Series A-1 convertible preferred stock. A total of 1,051,720 shares of Class A common stock held by certain investors and employees were not modified and continue to exist as Class A common stock. See Note 8 “</w:t>
      </w:r>
      <w:r>
        <w:rPr>
          <w:rFonts w:ascii="Arial" w:cs="Arial" w:eastAsia="Arial" w:hAnsi="Arial"/>
          <w:sz w:val="16"/>
          <w:szCs w:val="16"/>
          <w:i w:val="1"/>
          <w:iCs w:val="1"/>
          <w:color w:val="auto"/>
        </w:rPr>
        <w:t>Convertible Preferred Stock and Stockholders’</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r>
        <w:rPr>
          <w:rFonts w:ascii="Arial" w:cs="Arial" w:eastAsia="Arial" w:hAnsi="Arial"/>
          <w:sz w:val="16"/>
          <w:szCs w:val="16"/>
          <w:color w:val="auto"/>
        </w:rPr>
        <w:t>” for further discussion.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90"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Since inception, the Company has not generated any revenue from product sales or other sources and has incurred significant operating losses and negative cash flows from operations. The Company’s primary uses of cash to date have been to fund research and development activities, business planning, establishing and maintaining the Company’s intellectual property portfolio, hiring personnel, raising capital, and providing general and administrative support for these operations. As of June 30, 2021, the Company had an accumulated deficit of $18.5 million. To date, the Company has funded operations primarily through private placements of convertible preferred stock. As of June 30, 2021, the Company had raised aggregate gross proceeds of $30.4 million from these private placements and had cash of $16.3 million.</w:t>
      </w:r>
    </w:p>
    <w:p>
      <w:pPr>
        <w:spacing w:after="0" w:line="120"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 xml:space="preserve">The accompanying condensed consolidated financial statements have been prepared on a going concern basis, which contemplates the realization of assets and the satisfaction of liabilities and commitments in the normal course of business. The Company believes that its existing cash as well as the net proceeds received in connection with its Series A and Series B Stock Purchase Agreements (see Note 10 </w:t>
      </w:r>
      <w:r>
        <w:rPr>
          <w:rFonts w:ascii="Arial" w:cs="Arial" w:eastAsia="Arial" w:hAnsi="Arial"/>
          <w:sz w:val="18"/>
          <w:szCs w:val="18"/>
          <w:i w:val="1"/>
          <w:iCs w:val="1"/>
          <w:color w:val="auto"/>
        </w:rPr>
        <w:t>“Subsequent Events”</w:t>
      </w:r>
      <w:r>
        <w:rPr>
          <w:rFonts w:ascii="Arial" w:cs="Arial" w:eastAsia="Arial" w:hAnsi="Arial"/>
          <w:sz w:val="18"/>
          <w:szCs w:val="18"/>
          <w:color w:val="auto"/>
        </w:rPr>
        <w:t>), offset by cash used for continued capital expenditures and operating expenses, will be sufficient to allow the Company to fund operations for at least one year from the issuance date of these condensed consolidated financial statements.</w:t>
      </w:r>
    </w:p>
    <w:p>
      <w:pPr>
        <w:spacing w:after="0" w:line="147"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As the Company continues to pursue its business plan to successfully develop and obtain regulatory approval for the Company’s product candidates, it expects to finance its operations through the sale of equity,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debt financings or other capital resources, which could include income from collaborations, strategic partnerships or marketing, distribution, licensing or other strategic arrangements with third parties, or from grants. However, there can be no assurance that any additional financing or strategic transactions will be available to the Company on acceptable terms, if at all. If events or circumstances occur such that the Company does not obtain additional funding, it may need to delay, reduce or eliminate its product development or future commercialization efforts, which could have a material adverse effect on the Company’s business, results of operations or financial condition.</w:t>
      </w:r>
    </w:p>
    <w:p>
      <w:pPr>
        <w:spacing w:after="0" w:line="222" w:lineRule="exact"/>
        <w:rPr>
          <w:sz w:val="20"/>
          <w:szCs w:val="20"/>
          <w:color w:val="auto"/>
        </w:rPr>
      </w:pPr>
    </w:p>
    <w:p>
      <w:pPr>
        <w:ind w:right="7740" w:firstLine="8"/>
        <w:spacing w:after="0" w:line="417" w:lineRule="auto"/>
        <w:tabs>
          <w:tab w:leader="none" w:pos="175"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Consolidation</w:t>
      </w:r>
    </w:p>
    <w:p>
      <w:pPr>
        <w:spacing w:after="0" w:line="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accompanying unaudited condensed consolidated financial statements as of June 30, 2021 and for the six months ended June 30, 2020 and 2021 have been prepared in conformity with generally accepted accounting principles in the United States of America, or U.S. GAAP, for interim financial information and pursuant to Article 10 of Regulation S-X of the Securities Act of 1933, as amended, or Securities Act. Accordingly, they do not include all of the information and notes required by U.S. GAAP for complete financial statements. These unaudited condensed consolidated financial statements include only normal and recurring adjustments that the Company believes are necessary to fairly state the Company’s financial position and the results of its operations and cash flows. The results for the six months ended June 30, 2021 are not necessarily indicative of the results expected for the full fiscal year or any subsequent interim period. The condensed consolidated balance sheet as of December 31, 2020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as of and for the year ended December 31, 2020. Any reference in these notes to applicable guidance is meant to refer to the authoritative U.S. GAAP as found in the Accounting Standards Codification, or ASC, and Accounting Standards Update, or ASU, of the Financial Accounting Standards Board, or FASB.</w:t>
      </w:r>
    </w:p>
    <w:p>
      <w:pPr>
        <w:spacing w:after="0" w:line="123"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periods ended December 31, 2019 and 2020, included elsewhere in this prospectus. Since the date of those financial statements, there have been no changes to its significant accounting policies, except as noted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9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The Company capitalizes within other long-term assets certain legal, accounting, and other third-party fees that are directly related to the Company’s in-process equity financings,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are immediately written off to operating expenses. There were no deferred offering costs as of December 31, 2020. As of June 30, 2021, deferred offering costs of $0.2 million were recorded within other long-term assets on the condensed consolidated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180" w:firstLine="449"/>
        <w:spacing w:after="0" w:line="306" w:lineRule="auto"/>
        <w:rPr>
          <w:sz w:val="20"/>
          <w:szCs w:val="20"/>
          <w:color w:val="auto"/>
        </w:rPr>
      </w:pPr>
      <w:r>
        <w:rPr>
          <w:rFonts w:ascii="Arial" w:cs="Arial" w:eastAsia="Arial" w:hAnsi="Arial"/>
          <w:sz w:val="16"/>
          <w:szCs w:val="16"/>
          <w:color w:val="auto"/>
        </w:rPr>
        <w:t>The Company recognizes stock-based compensation expense for employee, officer, director and non-employee restricted stock awards and time vested stock options on a straight-line basis over the requisite service period. The Company recognizes stock-based compensation expense for performance-based options using the graded vesting method. The Company accounts for forfeitures as they occur.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3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90" w:lineRule="exact"/>
        <w:rPr>
          <w:sz w:val="20"/>
          <w:szCs w:val="20"/>
          <w:color w:val="auto"/>
        </w:rPr>
      </w:pPr>
    </w:p>
    <w:p>
      <w:pPr>
        <w:ind w:right="20" w:firstLine="449"/>
        <w:spacing w:after="0" w:line="306"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for the period, without consideration of potential dilutive securities. Diluted net loss per share is computed by dividing the net loss attributable to common stockholders by the sum of the weighted average number of common shares plus the potential dilutive effects of potential dilutive securities outstanding during the period.</w:t>
      </w:r>
    </w:p>
    <w:p>
      <w:pPr>
        <w:spacing w:after="0" w:line="106"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Potential dilutive securities are excluded from diluted earnings or loss per share if the effect of such inclusion is antidilutive. The Company’s potentially dilutive securities, which include convertible preferred stock and unvested common stock under the Company’s equity incentive plan, vesting conditions placed on previously issued common shares and warrants to purchase convertible preferred stock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115" w:lineRule="exact"/>
        <w:rPr>
          <w:sz w:val="20"/>
          <w:szCs w:val="20"/>
          <w:color w:val="auto"/>
        </w:rPr>
      </w:pPr>
    </w:p>
    <w:p>
      <w:pPr>
        <w:ind w:right="540" w:firstLine="449"/>
        <w:spacing w:after="0" w:line="268"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gridSpan w:val="4"/>
          </w:tcPr>
          <w:p>
            <w:pPr>
              <w:ind w:left="180"/>
              <w:spacing w:after="0"/>
              <w:rPr>
                <w:sz w:val="20"/>
                <w:szCs w:val="20"/>
                <w:color w:val="auto"/>
              </w:rPr>
            </w:pPr>
            <w:r>
              <w:rPr>
                <w:rFonts w:ascii="Arial" w:cs="Arial" w:eastAsia="Arial" w:hAnsi="Arial"/>
                <w:sz w:val="18"/>
                <w:szCs w:val="18"/>
                <w:b w:val="1"/>
                <w:bCs w:val="1"/>
                <w:color w:val="auto"/>
              </w:rPr>
              <w:t>As of June 30,</w:t>
            </w:r>
          </w:p>
        </w:tc>
      </w:tr>
      <w:tr>
        <w:trPr>
          <w:trHeight w:val="211"/>
        </w:trPr>
        <w:tc>
          <w:tcPr>
            <w:tcW w:w="7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2020</w:t>
            </w:r>
          </w:p>
        </w:tc>
        <w:tc>
          <w:tcPr>
            <w:tcW w:w="106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7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Series A-1 convertible preferred stock</w:t>
            </w:r>
          </w:p>
        </w:tc>
        <w:tc>
          <w:tcPr>
            <w:tcW w:w="26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1,372,970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Series A-2 convertible preferred stock</w:t>
            </w:r>
          </w:p>
        </w:tc>
        <w:tc>
          <w:tcPr>
            <w:tcW w:w="2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2,100,836</w:t>
            </w: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Series A-2 convertible preferred stock warrants</w:t>
            </w:r>
          </w:p>
        </w:tc>
        <w:tc>
          <w:tcPr>
            <w:tcW w:w="26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35,529</w:t>
            </w:r>
          </w:p>
        </w:tc>
        <w:tc>
          <w:tcPr>
            <w:tcW w:w="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624,964</w:t>
            </w: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Vesting conditions placed on previously issued common shares</w:t>
            </w:r>
          </w:p>
        </w:tc>
        <w:tc>
          <w:tcPr>
            <w:tcW w:w="2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141,560</w:t>
            </w:r>
          </w:p>
        </w:tc>
        <w:tc>
          <w:tcPr>
            <w:tcW w:w="60" w:type="dxa"/>
            <w:vAlign w:val="bottom"/>
            <w:shd w:val="clear" w:color="auto" w:fill="CCEEFF"/>
          </w:tcPr>
          <w:p>
            <w:pPr>
              <w:spacing w:after="0"/>
              <w:rPr>
                <w:sz w:val="18"/>
                <w:szCs w:val="18"/>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4,275,859</w:t>
            </w:r>
          </w:p>
        </w:tc>
        <w:tc>
          <w:tcPr>
            <w:tcW w:w="6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80" w:firstLine="8"/>
        <w:spacing w:after="0" w:line="391" w:lineRule="auto"/>
        <w:tabs>
          <w:tab w:leader="none" w:pos="175"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b w:val="1"/>
          <w:bCs w:val="1"/>
          <w:i w:val="1"/>
          <w:iCs w:val="1"/>
          <w:color w:val="auto"/>
        </w:rPr>
        <w:t>Preferred stock warrant liability</w:t>
      </w:r>
    </w:p>
    <w:p>
      <w:pPr>
        <w:spacing w:after="0" w:line="1"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In connection with the November 24, 2020 Stock Purchase Agreement (Note 8), the Company granted warrants to purchase up to 35,529 shares of Series A-2 convertible preferred stock at a price per share equal to $11.42 and with a term ending upon the earlier of an underwritten public offering pursuant to an effective registration statement under the Securities Act of 1933, the consummation of a Deemed Liquidation Event, as such term is defined in the Company’s Restated Certificate of Incorporation or 10 years. As the warrants are for preferred stock, which do not qualify for equity classification, the warrants have been recorded as a liability and are required to be remeasured to fair value at each reporting date.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500" w:firstLine="449"/>
        <w:spacing w:after="0" w:line="259" w:lineRule="auto"/>
        <w:rPr>
          <w:sz w:val="20"/>
          <w:szCs w:val="20"/>
          <w:color w:val="auto"/>
        </w:rPr>
      </w:pPr>
      <w:r>
        <w:rPr>
          <w:rFonts w:ascii="Arial" w:cs="Arial" w:eastAsia="Arial" w:hAnsi="Arial"/>
          <w:sz w:val="18"/>
          <w:szCs w:val="18"/>
          <w:color w:val="auto"/>
        </w:rPr>
        <w:t>As there are significant inputs that are not observable in the market, the warrant valuation represents a Level 3 measurement within the fair value hierarchy. The Company’s valuation of the preferred stock warrant utilized the Black-Scholes option-pricing model, which incorporates assumptions and estimates to value the preferred stock warrant.</w:t>
      </w:r>
    </w:p>
    <w:p>
      <w:pPr>
        <w:spacing w:after="0" w:line="140"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The quantitative elements associated with the Company’s Level 3 inputs impacting the fair value measurement of the preferred stock warrant liability include the fair value per share of the underlying Series A-2 convertible preferred stock, the remaining contractual term of the warrant, risk-free interest rate, expected dividend yield and expected volatility of the price of the underlying preferred stock. The most significant assumption in the Black-Scholes option-pricing model impacting the fair value of the preferred stock warrant is the fair value of the Company’s Series A-2 convertible preferred stock as of each remeasurement date. The Company determines the fair value per share of the underlying preferred stock by taking into consideration its most recent sales of its convertible preferred stock.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The Company has estimated a 0% dividend yield based on the expected dividend yield and the fact that the Company has never paid or declared dividends.</w:t>
      </w:r>
    </w:p>
    <w:p>
      <w:pPr>
        <w:spacing w:after="0" w:line="122"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Company recognizes changes in the fair value of the warrant liability as a component of other income (expense) in its condensed consolidated statements of operations and comprehensive loss. The Company will continue to recognize changes in the fair value of the warrant liability until the warrant is exercised, expires, or qualifies for equity classification.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80" w:type="dxa"/>
            <w:vAlign w:val="bottom"/>
          </w:tcPr>
          <w:p>
            <w:pPr>
              <w:ind w:left="460"/>
              <w:spacing w:after="0"/>
              <w:rPr>
                <w:sz w:val="20"/>
                <w:szCs w:val="20"/>
                <w:color w:val="auto"/>
              </w:rPr>
            </w:pPr>
            <w:r>
              <w:rPr>
                <w:rFonts w:ascii="Arial" w:cs="Arial" w:eastAsia="Arial" w:hAnsi="Arial"/>
                <w:sz w:val="18"/>
                <w:szCs w:val="18"/>
                <w:color w:val="auto"/>
              </w:rPr>
              <w:t>A reconciliation of the Level 3 warrant liability is as follows (in thousands):</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7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Arial" w:cs="Arial" w:eastAsia="Arial" w:hAnsi="Arial"/>
                <w:sz w:val="18"/>
                <w:szCs w:val="18"/>
                <w:b w:val="1"/>
                <w:bCs w:val="1"/>
                <w:color w:val="auto"/>
                <w:w w:val="90"/>
              </w:rPr>
              <w:t>Series A-2 Preferred</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Stock Warrant</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96"/>
              </w:rPr>
              <w:t>Liability</w:t>
            </w: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4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2020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Issuance of Series A preferred stock warrants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Balance as of December 31, 2020</w:t>
            </w: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7"/>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Balance as of June 30, 2021</w:t>
            </w: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80" w:type="dxa"/>
            <w:vAlign w:val="bottom"/>
          </w:tcPr>
          <w:p>
            <w:pPr>
              <w:ind w:left="460"/>
              <w:spacing w:after="0"/>
              <w:rPr>
                <w:sz w:val="20"/>
                <w:szCs w:val="20"/>
                <w:color w:val="auto"/>
              </w:rPr>
            </w:pPr>
            <w:r>
              <w:rPr>
                <w:rFonts w:ascii="Arial" w:cs="Arial" w:eastAsia="Arial" w:hAnsi="Arial"/>
                <w:sz w:val="18"/>
                <w:szCs w:val="18"/>
                <w:color w:val="auto"/>
                <w:w w:val="89"/>
              </w:rPr>
              <w:t>The cost and accumulated depreciation of property and equipment were as follows (in thousands):</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48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December 31, 2020</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5"/>
              </w:rPr>
              <w:t>June 30, 2021</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Lab equipment</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6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(345)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$54,000 and $84,000 for the six months ended June 30, 2020 and 2021, respectively.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9" w:right="3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9440" w:firstLine="8"/>
        <w:spacing w:after="0" w:line="391" w:lineRule="auto"/>
        <w:tabs>
          <w:tab w:leader="none" w:pos="175"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Material Agreements </w:t>
      </w:r>
      <w:r>
        <w:rPr>
          <w:rFonts w:ascii="Arial" w:cs="Arial" w:eastAsia="Arial" w:hAnsi="Arial"/>
          <w:sz w:val="16"/>
          <w:szCs w:val="16"/>
          <w:b w:val="1"/>
          <w:bCs w:val="1"/>
          <w:i w:val="1"/>
          <w:iCs w:val="1"/>
          <w:color w:val="auto"/>
        </w:rPr>
        <w:t>Grant funding</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2019, Innovate UK, or IUK, awarded the Company up to $2.1 million under a grant award to support the Company’s development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therapies for neuromuscular and neurological diseases. During the six months ended June 30, 2020 and 2021, the Company recognized $0.7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of reimbursable funds from IUK, based on eligible costs incurred under the grant, respectively. The IUK grant reimbursements are accrued as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offset against research and development expenses as reimbursable expenses are incurred. The Company has recorded receivables, included in other receivables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 the condensed consolidated balance sheets of $0.3 million and $0.2 million as of December 31, 2020 and June 30, 2021, respectively, related to eligible costs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incurred but not yet reimbursed.</w:t>
      </w:r>
    </w:p>
    <w:p>
      <w:pPr>
        <w:spacing w:after="0" w:line="240" w:lineRule="exact"/>
        <w:rPr>
          <w:sz w:val="20"/>
          <w:szCs w:val="20"/>
          <w:color w:val="auto"/>
        </w:rPr>
      </w:pPr>
    </w:p>
    <w:p>
      <w:pPr>
        <w:jc w:val="both"/>
        <w:ind w:right="9000" w:firstLine="8"/>
        <w:spacing w:after="0" w:line="417" w:lineRule="auto"/>
        <w:tabs>
          <w:tab w:leader="none" w:pos="175" w:val="left"/>
        </w:tabs>
        <w:numPr>
          <w:ilvl w:val="0"/>
          <w:numId w:val="15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Technology license agreement</w:t>
      </w:r>
    </w:p>
    <w:p>
      <w:pPr>
        <w:spacing w:after="0" w:line="1" w:lineRule="exact"/>
        <w:rPr>
          <w:sz w:val="20"/>
          <w:szCs w:val="20"/>
          <w:color w:val="auto"/>
        </w:rPr>
      </w:pPr>
    </w:p>
    <w:p>
      <w:pPr>
        <w:ind w:right="120" w:firstLine="449"/>
        <w:spacing w:after="0" w:line="253" w:lineRule="auto"/>
        <w:rPr>
          <w:sz w:val="20"/>
          <w:szCs w:val="20"/>
          <w:color w:val="auto"/>
        </w:rPr>
      </w:pPr>
      <w:r>
        <w:rPr>
          <w:rFonts w:ascii="Arial" w:cs="Arial" w:eastAsia="Arial" w:hAnsi="Arial"/>
          <w:sz w:val="18"/>
          <w:szCs w:val="18"/>
          <w:color w:val="auto"/>
        </w:rPr>
        <w:t>In March 2018, the Company, Oxford University Innovation Limited, or OUI, and the Medical Research Council of United Kingdom Research and Innovation, or MRC (or collectively the Licensors), entered into a license of technology agreement, or License Agreement, which was subsequently amended in December 2018 and further amended and restated in November 2020. The Licensors and affiliates hold shares of Series A-1 and Series A-2 preferred stock and Class A common stock. The License Agreement provides the Company with an exclusive world-wide license to licensed data and technology owned by OUI and MRC in respect of cell penetrating peptides for treatment of Duchenne muscular dystrophy, spinal muscular atrophy and other conditions. The License Agreement provides the Company with the rights to grant and authorize sublicenses to make, use, sell, and import products and otherwise exploit the patent rights.</w:t>
      </w:r>
    </w:p>
    <w:p>
      <w:pPr>
        <w:spacing w:after="0" w:line="147" w:lineRule="exact"/>
        <w:rPr>
          <w:sz w:val="20"/>
          <w:szCs w:val="20"/>
          <w:color w:val="auto"/>
        </w:rPr>
      </w:pPr>
    </w:p>
    <w:p>
      <w:pPr>
        <w:ind w:right="140" w:firstLine="449"/>
        <w:spacing w:after="0" w:line="294" w:lineRule="auto"/>
        <w:rPr>
          <w:sz w:val="20"/>
          <w:szCs w:val="20"/>
          <w:color w:val="auto"/>
        </w:rPr>
      </w:pPr>
      <w:r>
        <w:rPr>
          <w:rFonts w:ascii="Arial" w:cs="Arial" w:eastAsia="Arial" w:hAnsi="Arial"/>
          <w:sz w:val="16"/>
          <w:szCs w:val="16"/>
          <w:color w:val="auto"/>
        </w:rPr>
        <w:t>As consideration for the license, the Company made an initial upfront payment in 2018 of $0.1 million upon transfer of the license technology and data and in 2020 upon amending and restating the License Agreement made two additional payments of $19,000 for a Restatement Completion Fee and License Data Fee. The Company determined that the upfront payment and subsequent Restatement Completion Fee and License Data Fee as part of the license agreement would be expensed upon execution of the original contract and subsequent amendment as the license was acquired for research and development purposes which does not have alternative future uses, and the underlying technology has not reached technological feasibility.</w:t>
      </w:r>
    </w:p>
    <w:p>
      <w:pPr>
        <w:spacing w:after="0" w:line="11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Company could be required to make milestone payments to the Licensors upon completion of certain patent and commercial milestones related to the patents and commercialization of certain of the Company’s product candidates. The aggregate potential milestone payments are $0.1 million. The Company also agreed to pay the Licensors low single digit royalties on net sales of any licensed products in excess of a threshold amount between £20 million and £30 million (or $27.6 million and $41.4 million as of June 30, 2021) that are commercialized by the Company or sublicensees, subject to certain adjustments. The term of the License Agreement continues until the later of (i) the date on which all the patents and patent applications covered thereunder have been abandoned or allowed to lapse or expired or been rejected or revoked or (ii) 20 years from the date of the original agreement.</w:t>
      </w:r>
    </w:p>
    <w:p>
      <w:pPr>
        <w:spacing w:after="0" w:line="120"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Additionally, the Company could be required to pay OUI an exit fee between 0.5% to 2% of the value determined in an acquisition or IPO, not to exceed £5 million ($6.8 million and $6.9 million as of December 31, 2020 and June 30, 2021, respectively), if the Company enters into a transaction with a third-party whereby the party obtains direct or indirect control of the Company, or the Company sells shares on an exchange in an IPO. In lieu of paying the exit fee, the Company has the option to pay a buy out fee, which can be paid at any time to release the Company from its obligation to pay the exit fee. As of December 31, 2020 and June 30, 2021, the Company concluded the exit event was not probable and therefore no obligation was recorded.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459" w:right="3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520" w:firstLine="449"/>
        <w:spacing w:after="0" w:line="331" w:lineRule="auto"/>
        <w:rPr>
          <w:sz w:val="20"/>
          <w:szCs w:val="20"/>
          <w:color w:val="auto"/>
        </w:rPr>
      </w:pPr>
      <w:r>
        <w:rPr>
          <w:rFonts w:ascii="Arial" w:cs="Arial" w:eastAsia="Arial" w:hAnsi="Arial"/>
          <w:sz w:val="16"/>
          <w:szCs w:val="16"/>
          <w:color w:val="auto"/>
        </w:rPr>
        <w:t>Additionally, the Company pays office space rent to OUI. For the six months ended June 30 2020 and 2021, total rent payments were $57,000 and $79,000, respectively. As of December 31, 2020 and June 30, 2021, $26,000 and $50,000, respectively, was due to OUI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90"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In November 2020, the Company entered into an agreement, or Services Agreement, with Carnot Pharma, LLC, or Carnot, under which Carnot provides research and other services to the Company. Carnot is an entity controlled by RA Capital Management, L.P. Entities affiliated with RA Capital Management, L.P. purchased shares of Series A-2 convertible preferred stock in the Company’s preferred stock financing in November of 2020 and May and July of 2021. In addition, entities affiliated with RA Capital Management, L.P. purchased shares of our Series B convertible preferred stock in the Company’s preferred stock financing in July 2021. Two members of the Company’s Board of Directors are also affiliated with RA Capital Management, L.P.</w:t>
      </w:r>
    </w:p>
    <w:p>
      <w:pPr>
        <w:spacing w:after="0" w:line="11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Under the terms of the Services Agreement, the Company compensates Carnot on a fully burdened cost basis for personal time devoted to Company projects. In addition, the Company reimburses Carnot on a costs basis for any subcontractor costs incurred. The Company pays Carnot on a quarterly basis, in arrears, for services performed and costs incurred. The Services Agreement is for a term of the later of (A) two (2) years and (B) the later of (a) completion of the Services or (b) latest-to-occur delivery of a final report or any other items required to be delivered to the Company under the last ongoing project as part of the services, if any. The Company may terminate the services agreement by giving 30 days’ prior notice and either party can terminate the services agreement for a material breach, if not cured within 30 days following notice by the nonbreaching party.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Expenses incurred by the Company under the Services Agreement with Carnot for the six months ended June 30, 2021, totaled approximately</w:t>
      </w:r>
    </w:p>
    <w:p>
      <w:pPr>
        <w:spacing w:after="0" w:line="38"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$0.4 million. As of December 31, 2020 and June 30, 2021, approximately $31,000 and $77,000, respectively, was due to Carnot by the Company for services rendered under the Services Agreement.</w:t>
      </w:r>
    </w:p>
    <w:p>
      <w:pPr>
        <w:spacing w:after="0" w:line="214" w:lineRule="exact"/>
        <w:rPr>
          <w:sz w:val="20"/>
          <w:szCs w:val="20"/>
          <w:color w:val="auto"/>
        </w:rPr>
      </w:pPr>
    </w:p>
    <w:p>
      <w:pPr>
        <w:ind w:right="8580" w:firstLine="8"/>
        <w:spacing w:after="0" w:line="391" w:lineRule="auto"/>
        <w:tabs>
          <w:tab w:leader="none" w:pos="175"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firstLine="449"/>
        <w:spacing w:after="0" w:line="331" w:lineRule="auto"/>
        <w:rPr>
          <w:sz w:val="20"/>
          <w:szCs w:val="20"/>
          <w:color w:val="auto"/>
        </w:rPr>
      </w:pPr>
      <w:r>
        <w:rPr>
          <w:rFonts w:ascii="Arial" w:cs="Arial" w:eastAsia="Arial" w:hAnsi="Arial"/>
          <w:sz w:val="16"/>
          <w:szCs w:val="16"/>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w:t>
      </w:r>
    </w:p>
    <w:p>
      <w:pPr>
        <w:spacing w:after="0" w:line="87" w:lineRule="exact"/>
        <w:rPr>
          <w:sz w:val="20"/>
          <w:szCs w:val="20"/>
          <w:color w:val="auto"/>
        </w:rPr>
      </w:pPr>
    </w:p>
    <w:p>
      <w:pPr>
        <w:ind w:right="880" w:firstLine="449"/>
        <w:spacing w:after="0" w:line="268" w:lineRule="auto"/>
        <w:rPr>
          <w:sz w:val="20"/>
          <w:szCs w:val="20"/>
          <w:color w:val="auto"/>
        </w:rPr>
      </w:pPr>
      <w:r>
        <w:rPr>
          <w:rFonts w:ascii="Arial" w:cs="Arial" w:eastAsia="Arial" w:hAnsi="Arial"/>
          <w:sz w:val="18"/>
          <w:szCs w:val="18"/>
          <w:color w:val="auto"/>
        </w:rPr>
        <w:t>Significant judgment is required to determine both probability and the estimated amount. No contingent liabilities have been recorded as of December 31, 2020 and June 30,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90" w:lineRule="exact"/>
        <w:rPr>
          <w:sz w:val="20"/>
          <w:szCs w:val="20"/>
          <w:color w:val="auto"/>
        </w:rPr>
      </w:pPr>
    </w:p>
    <w:p>
      <w:pPr>
        <w:ind w:right="100" w:firstLine="449"/>
        <w:spacing w:after="0" w:line="256" w:lineRule="auto"/>
        <w:rPr>
          <w:sz w:val="20"/>
          <w:szCs w:val="20"/>
          <w:color w:val="auto"/>
        </w:rPr>
      </w:pPr>
      <w:r>
        <w:rPr>
          <w:rFonts w:ascii="Arial" w:cs="Arial" w:eastAsia="Arial" w:hAnsi="Arial"/>
          <w:sz w:val="18"/>
          <w:szCs w:val="18"/>
          <w:color w:val="auto"/>
        </w:rPr>
        <w:t>In September 2020, the University of Oxford, or UO, and the Company entered into a noncancellable lease whereby UO leased the Company laboratory space in Oxford, United Kingdom, with an initial term through September 2021. The Company is currently negotiating a one-year extension to the lease agreement. The lease is currently cancelable within six weeks of written notice. The Company agreed to pay UO rent at a rate of $0.1 million per year under the terms of the 2020 lease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jc w:val="both"/>
        <w:ind w:right="240" w:firstLine="449"/>
        <w:spacing w:after="0" w:line="306"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respect to the Company’s products. Further, the Company indemnifies its directors and officers who are, or were, serving at the Company’s request in such capacities. The Company’s maximum exposure under these arrangements is unknown as of June 30, 2021.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 and 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A-1 convertible preferred stock and Series A-2 convertible preferred stock</w:t>
      </w:r>
    </w:p>
    <w:p>
      <w:pPr>
        <w:spacing w:after="0" w:line="90"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In connection with the November 24, 2020, Stock Purchase Agreement, the Company agreed to issue an aggregate of 3,939,069 shares of Series A-2 convertible preferred stock to new and existing investors at a price of $11.42 per share, in three closings, and elected to convert 1,372,970 shares of outstanding Class A and Class B common stock into shares of Series A-1 convertible preferred stock. A total of 1,051,720 shares of Class A common stock held by certain founding investors and employees were not modified and continue to exist as Class A common stock.</w:t>
      </w:r>
    </w:p>
    <w:p>
      <w:pPr>
        <w:spacing w:after="0" w:line="112"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The Company concluded the terms of the Stock Purchase Agreement, whereby certain pre-existing Class A and Class B common stock was modified and exchanged for Series A-1 convertible preferred stock, represented a modification as these previous Class A and Class B Common stockholders received incremental value through the enhanced rights and preferences associated with the Series A-1 convertible preferred stock. Consequently, in connection with this exchange, the Company recorded a deemed dividend of $2.2 million to reflect the difference between the fair value of the Series A-1 convertible preferred stock and the Class A and Class B common stock, on the date of the exchange, based upon a valuation performed by an independent valuation specialist.</w:t>
      </w:r>
    </w:p>
    <w:p>
      <w:pPr>
        <w:spacing w:after="0" w:line="115"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In November 2020, the Company issued 700,278 shares of Series A-2 convertible preferred stock in the initial closing for gross proceeds of $8.0 million. The Stock Purchase Agreement contains provisions that potentially obligate the Company to sell, outside of its control, an additional 3,238,791 shares of Series A-2 convertible preferred stock at $11.42 per share for expected gross proceeds of $37.0 million, upon the occurrence of two subsequent milestone closings, or Milestone Closings, or earlier, at the option of any holder of the Series A-2 convertible preferred stock. If the defined milestones are not achieved prior to the Company’s IPO, the holders may elect to purchase these shares prior to the completion of the IPO. If the shares are not purchased prior to the completion of the IPO, then this right to purchase these shares automatically expires. If any holder of the Series A-2 convertible preferred stock does not elect to participate in the two subsequent Milestone Closings, the holder’s shares of Series A-2 convertible preferred stock automatically convert into shares of common stock at a ratio of ten shares of Series A-2 convertible preferred stock to one share of common stock. In addition, to the extent any Series A-1 convertible preferred stock stockholder participated in the Series A-2 preferred stock financing and does not elect to participate in the two subsequent Milestone Closings, the holder’s shares of Series A-1 convertible preferred stock automatically convert into shares of common stock on a one-to-one basis.</w:t>
      </w:r>
    </w:p>
    <w:p>
      <w:pPr>
        <w:spacing w:after="0" w:line="122" w:lineRule="exact"/>
        <w:rPr>
          <w:sz w:val="20"/>
          <w:szCs w:val="20"/>
          <w:color w:val="auto"/>
        </w:rPr>
      </w:pPr>
    </w:p>
    <w:p>
      <w:pPr>
        <w:ind w:right="740" w:firstLine="449"/>
        <w:spacing w:after="0" w:line="331" w:lineRule="auto"/>
        <w:rPr>
          <w:sz w:val="20"/>
          <w:szCs w:val="20"/>
          <w:color w:val="auto"/>
        </w:rPr>
      </w:pPr>
      <w:r>
        <w:rPr>
          <w:rFonts w:ascii="Arial" w:cs="Arial" w:eastAsia="Arial" w:hAnsi="Arial"/>
          <w:sz w:val="16"/>
          <w:szCs w:val="16"/>
          <w:color w:val="auto"/>
        </w:rPr>
        <w:t>In May 2021, upon the completion of the first of two defined Milestone Closings outlined in the Stock Purchase Agreement, the Company sold 1,400,558 shares of Series A-2 convertible preferred stock at $11.42 per share for aggregate gross proceeds of $16.0 million</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convertible preferred stock has the following characteristics: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Each holder of convertible preferred stock is entitled to receive dividends when and if declared by the board of directors at the rate of 6% of the original issue price per annum. The original issuance price, or Original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459" w:right="3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Issuance Price, with respect to the Series A-1 convertible preferred stock is $4.64 per share and with respect to the Series A-2 convertible preferred stock is $11.42 per share. Dividends are noncumulative, and no cash dividends have been declared to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9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Each share of convertible preferred stock is convertible without payment of additional consideration at the option of the holder any time after the issuance date into shares of common stock determined by dividing the Original Issuance Price by the conversion price. The conversion price of the convertible preferred stock is initially equal to the Original Issuance Price and is subject to adjustment if the Company issues additional shares of common stock after the applicable original issue date of such series of convertible preferred stock without consideration or for consideration per share less than the conversion price for such series of convertible preferred stock, subject to customary exceptions. The conversion price will be adjusted for stock splits, distributions, dividends, and noncash distributions. The convertible preferred stock is subject to a mandatory conversion in the event that there is a closing of the sale of shares of common stock to the public at a price of at least $57.12 per share (subject to adjustment) in an underwritten public offering pursuant to an effective registration statement under the Securities Act of 1933, as amended, and in connection with such offering the common stock is listed for trading on the Nasdaq Stock Market’s National Market, the New York Stock Exchange or another exchange or marketplace approved by the board of directors. As of December 31, 2020 and June 30, 2021, all series of convertible preferred stock are convertible into shares of common stock on a one-to-one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Holders of the convertible preferred stock are entitled to receive liquidation preferences at the Series A-1 and Series A-2 Original Issue Price, plus all accrued and declared but unpaid dividends. After full payment of the liquidation preference to the holders of the Series A-1 and Series A-2 convertible preferred stock, the remaining assets, if any, will be distributed ratably to the holders of the common stock provided, however, that each holder of convertible preferred stock shall be entitled to receive upon such liquidation the greater of (i) the amount distributed pursuant to above and (ii) the amount such holder would have received if all shares of convertible preferred stock had been converted into common stock immediately prior to such liquidation.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90"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The holders of Series A-1 and A-2 convertible preferred stock do not have any redemption rights, except upon certain liquidation and dissolution events that are outside of the Company’s control.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right="60" w:firstLine="449"/>
        <w:spacing w:after="0" w:line="268" w:lineRule="auto"/>
        <w:rPr>
          <w:sz w:val="20"/>
          <w:szCs w:val="20"/>
          <w:color w:val="auto"/>
        </w:rPr>
      </w:pPr>
      <w:r>
        <w:rPr>
          <w:rFonts w:ascii="Arial" w:cs="Arial" w:eastAsia="Arial" w:hAnsi="Arial"/>
          <w:sz w:val="18"/>
          <w:szCs w:val="18"/>
          <w:color w:val="auto"/>
        </w:rPr>
        <w:t>The holder of each share of convertible preferred stock is entitled to one vote for each share of common stock into which it would convert and to vote as one class with the common stockholders on all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90"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condensed consolidated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320" w:top="459" w:right="3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90"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Under the Restated Certificate of Incorporation dated November 24, 2020, the Company has the authority to issue a total of 7,800,000 shares of Class A common stock (par value of $0.0001 per share), 571,430 shares of Class B common stock (par value of $0.00001 per share) and 5,347,568 shares of preferred stock (par value of $0.0001 per share).</w:t>
      </w:r>
    </w:p>
    <w:p>
      <w:pPr>
        <w:spacing w:after="0" w:line="140" w:lineRule="exact"/>
        <w:rPr>
          <w:sz w:val="20"/>
          <w:szCs w:val="20"/>
          <w:color w:val="auto"/>
        </w:rPr>
      </w:pPr>
    </w:p>
    <w:p>
      <w:pPr>
        <w:ind w:right="120" w:firstLine="449"/>
        <w:spacing w:after="0" w:line="294" w:lineRule="auto"/>
        <w:rPr>
          <w:sz w:val="20"/>
          <w:szCs w:val="20"/>
          <w:color w:val="auto"/>
        </w:rPr>
      </w:pPr>
      <w:r>
        <w:rPr>
          <w:rFonts w:ascii="Arial" w:cs="Arial" w:eastAsia="Arial" w:hAnsi="Arial"/>
          <w:sz w:val="16"/>
          <w:szCs w:val="16"/>
          <w:color w:val="auto"/>
        </w:rPr>
        <w:t>In 2018, the Company issued 1,000,000 shares of Class A common stock to certain founders of the Company with a stated value of $0.001 per share, under PepGen Limited. From March 2018 through December 2019, the Company issued 1,372,970 shares of Class A common stock and Class B common stock with a stated value of $4.64 per share under, PepGen Limited. In addition, in November of 2020, the Company issued 51,720 shares of Class A common stock in connection with the exercise of stock options, under PepGen Limited. In connection with the Reorganization, the Class A and Class B common stock of PepGen Limited were converted into shares of PepGen Inc. on a one-to-one basis into the same Class of common stock originally held.</w:t>
      </w:r>
    </w:p>
    <w:p>
      <w:pPr>
        <w:spacing w:after="0" w:line="115" w:lineRule="exact"/>
        <w:rPr>
          <w:sz w:val="20"/>
          <w:szCs w:val="20"/>
          <w:color w:val="auto"/>
        </w:rPr>
      </w:pPr>
    </w:p>
    <w:p>
      <w:pPr>
        <w:ind w:right="280" w:firstLine="449"/>
        <w:spacing w:after="0" w:line="306" w:lineRule="auto"/>
        <w:rPr>
          <w:sz w:val="20"/>
          <w:szCs w:val="20"/>
          <w:color w:val="auto"/>
        </w:rPr>
      </w:pPr>
      <w:r>
        <w:rPr>
          <w:rFonts w:ascii="Arial" w:cs="Arial" w:eastAsia="Arial" w:hAnsi="Arial"/>
          <w:sz w:val="16"/>
          <w:szCs w:val="16"/>
          <w:color w:val="auto"/>
        </w:rPr>
        <w:t>Each share of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as to dividends. No cash dividends have been declared by the board of directors during the six months ended June 30, 2020 and 2021.</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issuance, on an as-converted basis,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w w:val="86"/>
              </w:rPr>
              <w:t>December 31, 2020</w:t>
            </w:r>
          </w:p>
        </w:tc>
        <w:tc>
          <w:tcPr>
            <w:tcW w:w="8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5"/>
              </w:rPr>
              <w:t>June 30, 2021</w:t>
            </w:r>
          </w:p>
        </w:tc>
        <w:tc>
          <w:tcPr>
            <w:tcW w:w="0" w:type="dxa"/>
            <w:vAlign w:val="bottom"/>
          </w:tcPr>
          <w:p>
            <w:pPr>
              <w:spacing w:after="0"/>
              <w:rPr>
                <w:sz w:val="1"/>
                <w:szCs w:val="1"/>
                <w:color w:val="auto"/>
              </w:rPr>
            </w:pPr>
          </w:p>
        </w:tc>
      </w:tr>
      <w:tr>
        <w:trPr>
          <w:trHeight w:val="211"/>
        </w:trPr>
        <w:tc>
          <w:tcPr>
            <w:tcW w:w="79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Convertible preferred stock</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2,073,248</w:t>
            </w:r>
          </w:p>
        </w:tc>
        <w:tc>
          <w:tcPr>
            <w:tcW w:w="8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3,473,806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624,964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warrants issued and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35,529</w:t>
            </w: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35,529</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Vesting conditions placed on previously issued common shares</w:t>
            </w:r>
          </w:p>
        </w:tc>
        <w:tc>
          <w:tcPr>
            <w:tcW w:w="1420" w:type="dxa"/>
            <w:vAlign w:val="bottom"/>
          </w:tcPr>
          <w:p>
            <w:pPr>
              <w:jc w:val="right"/>
              <w:spacing w:after="0"/>
              <w:rPr>
                <w:sz w:val="20"/>
                <w:szCs w:val="20"/>
                <w:color w:val="auto"/>
              </w:rPr>
            </w:pPr>
            <w:r>
              <w:rPr>
                <w:rFonts w:ascii="Arial" w:cs="Arial" w:eastAsia="Arial" w:hAnsi="Arial"/>
                <w:sz w:val="18"/>
                <w:szCs w:val="18"/>
                <w:color w:val="auto"/>
              </w:rPr>
              <w:t>141,560</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141,560</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Authorized for future stock awards or option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392,391</w:t>
            </w:r>
          </w:p>
        </w:tc>
        <w:tc>
          <w:tcPr>
            <w:tcW w:w="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230,112</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vMerge w:val="continue"/>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2,642,728</w:t>
            </w:r>
          </w:p>
        </w:tc>
        <w:tc>
          <w:tcPr>
            <w:tcW w:w="8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4,505,971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Common Stock Subject to Repurchase</w:t>
      </w:r>
    </w:p>
    <w:p>
      <w:pPr>
        <w:spacing w:after="0" w:line="90" w:lineRule="exact"/>
        <w:rPr>
          <w:sz w:val="20"/>
          <w:szCs w:val="20"/>
          <w:color w:val="auto"/>
        </w:rPr>
      </w:pPr>
    </w:p>
    <w:p>
      <w:pPr>
        <w:ind w:right="140" w:firstLine="449"/>
        <w:spacing w:after="0" w:line="298" w:lineRule="auto"/>
        <w:rPr>
          <w:sz w:val="20"/>
          <w:szCs w:val="20"/>
          <w:color w:val="auto"/>
        </w:rPr>
      </w:pPr>
      <w:r>
        <w:rPr>
          <w:rFonts w:ascii="Arial" w:cs="Arial" w:eastAsia="Arial" w:hAnsi="Arial"/>
          <w:sz w:val="16"/>
          <w:szCs w:val="16"/>
          <w:color w:val="auto"/>
        </w:rPr>
        <w:t>In November 2020, in connection with the Series A-2 convertible preferred stock financing, two founding stockholders entered into Stock Restriction Agreements, or Restriction Agreements, whereby 141,560 shares that were previously vested and not subject to repurchase became restricted and subject to repurchase. The repurchase rights lapse 50% on the one-year anniversary of the Restriction Agreements and 50% on the second anniversary of the Restriction Agreements. Shares subject to repurchase by the Company are not deemed, for accounting purposes, to be outstanding until those shares vest.</w:t>
      </w:r>
    </w:p>
    <w:p>
      <w:pPr>
        <w:spacing w:after="0" w:line="112" w:lineRule="exact"/>
        <w:rPr>
          <w:sz w:val="20"/>
          <w:szCs w:val="20"/>
          <w:color w:val="auto"/>
        </w:rPr>
      </w:pPr>
    </w:p>
    <w:p>
      <w:pPr>
        <w:ind w:right="20" w:firstLine="449"/>
        <w:spacing w:after="0" w:line="335" w:lineRule="auto"/>
        <w:rPr>
          <w:sz w:val="20"/>
          <w:szCs w:val="20"/>
          <w:color w:val="auto"/>
        </w:rPr>
      </w:pPr>
      <w:r>
        <w:rPr>
          <w:rFonts w:ascii="Arial" w:cs="Arial" w:eastAsia="Arial" w:hAnsi="Arial"/>
          <w:sz w:val="15"/>
          <w:szCs w:val="15"/>
          <w:color w:val="auto"/>
        </w:rPr>
        <w:t>In connection with the vesting restrictions placed on these previously vested shares, the Company was required to determine the measurement date fair value of the shares, which was $2.32 per share or $0.3 million in aggregate. The measurement date fair value of the restricted stock will be recognized as stock-based compensation expense over the vesting period. As of December 31, 2020 and June 30 2021, 141,560 shares were subject to repurchase by the Company.</w:t>
      </w:r>
    </w:p>
    <w:p>
      <w:pPr>
        <w:spacing w:after="0" w:line="163" w:lineRule="exact"/>
        <w:rPr>
          <w:sz w:val="20"/>
          <w:szCs w:val="20"/>
          <w:color w:val="auto"/>
        </w:rPr>
      </w:pPr>
    </w:p>
    <w:p>
      <w:pPr>
        <w:ind w:right="9000" w:firstLine="8"/>
        <w:spacing w:after="0" w:line="417" w:lineRule="auto"/>
        <w:tabs>
          <w:tab w:leader="none" w:pos="175"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2020 Stock Plan</w:t>
      </w:r>
    </w:p>
    <w:p>
      <w:pPr>
        <w:spacing w:after="0" w:line="1" w:lineRule="exact"/>
        <w:rPr>
          <w:sz w:val="20"/>
          <w:szCs w:val="20"/>
          <w:color w:val="auto"/>
        </w:rPr>
      </w:pPr>
    </w:p>
    <w:p>
      <w:pPr>
        <w:ind w:right="120" w:firstLine="449"/>
        <w:spacing w:after="0" w:line="268" w:lineRule="auto"/>
        <w:rPr>
          <w:sz w:val="20"/>
          <w:szCs w:val="20"/>
          <w:color w:val="auto"/>
        </w:rPr>
      </w:pPr>
      <w:r>
        <w:rPr>
          <w:rFonts w:ascii="Arial" w:cs="Arial" w:eastAsia="Arial" w:hAnsi="Arial"/>
          <w:sz w:val="18"/>
          <w:szCs w:val="18"/>
          <w:color w:val="auto"/>
        </w:rPr>
        <w:t>In November 2020, the Company’s board of directors adopted the 2020 Stock Plan, or 2020 Plan, upon the adoption of the 2020 Plan and in accordance with the Reorganization, the Company’s previous plan was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459" w:right="3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cancelled and no shares under the plan remained outstanding. The 2020 Plan, which provides for the granting of incentive stock options, non-statutory stock options, restricted stock awards, and other forms of stock awards to its employees, directors, and consultants. The exercise price of incentive stock options and nonqualified stock options will be no less than 100% of the fair value per share of the Company’s common stock on the date of grant. If an individual owns common stock representing more than 10% of the voting shares and the grant is an incentive stock option, the price of each share will be at least 110% of the fair value on the date of grant. Options expire after 10 years (five years for incentive stock options granted to stockholders owning greater than 10% of the voting stock). The term and vesting periods for options granted under the 2020 Plan are determined by the Company’s board of directors. Options granted generally vest over four years. Options must be exercised within a 10-year period or sooner if specified within the option agreement.</w:t>
      </w:r>
    </w:p>
    <w:p>
      <w:pPr>
        <w:spacing w:after="0" w:line="118" w:lineRule="exact"/>
        <w:rPr>
          <w:sz w:val="20"/>
          <w:szCs w:val="20"/>
          <w:color w:val="auto"/>
        </w:rPr>
      </w:pPr>
    </w:p>
    <w:p>
      <w:pPr>
        <w:ind w:right="220" w:firstLine="449"/>
        <w:spacing w:after="0" w:line="306" w:lineRule="auto"/>
        <w:rPr>
          <w:sz w:val="20"/>
          <w:szCs w:val="20"/>
          <w:color w:val="auto"/>
        </w:rPr>
      </w:pPr>
      <w:r>
        <w:rPr>
          <w:rFonts w:ascii="Arial" w:cs="Arial" w:eastAsia="Arial" w:hAnsi="Arial"/>
          <w:sz w:val="16"/>
          <w:szCs w:val="16"/>
          <w:color w:val="auto"/>
        </w:rPr>
        <w:t>In March of 2021, the Company granted options subject to both a service-based condition and a performance-based condition that required the achievement of two Milestone Closings (Note 8) before the options can be eligible for service vesting conditions. The first performance-based condition was achieved in May of 2021 and the second performance-based condition was considered probable as of June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00" w:type="dxa"/>
            <w:vAlign w:val="bottom"/>
          </w:tcPr>
          <w:p>
            <w:pPr>
              <w:ind w:left="460"/>
              <w:spacing w:after="0"/>
              <w:rPr>
                <w:sz w:val="20"/>
                <w:szCs w:val="20"/>
                <w:color w:val="auto"/>
              </w:rPr>
            </w:pPr>
            <w:r>
              <w:rPr>
                <w:rFonts w:ascii="Arial" w:cs="Arial" w:eastAsia="Arial" w:hAnsi="Arial"/>
                <w:sz w:val="18"/>
                <w:szCs w:val="18"/>
                <w:color w:val="auto"/>
              </w:rPr>
              <w:t>Stock option activity under the Plan, is as follows:</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Weighted-Average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Remaining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w w:val="87"/>
              </w:rPr>
              <w:t>Weighted-Average</w:t>
            </w:r>
          </w:p>
        </w:tc>
        <w:tc>
          <w:tcPr>
            <w:tcW w:w="70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Contractual</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Intrinsic</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Exercise</w:t>
            </w:r>
          </w:p>
        </w:tc>
        <w:tc>
          <w:tcPr>
            <w:tcW w:w="70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Term</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19"/>
                <w:szCs w:val="19"/>
                <w:color w:val="auto"/>
              </w:rPr>
            </w:pPr>
          </w:p>
        </w:tc>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Price</w:t>
            </w:r>
          </w:p>
        </w:tc>
        <w:tc>
          <w:tcPr>
            <w:tcW w:w="700" w:type="dxa"/>
            <w:vAlign w:val="bottom"/>
          </w:tcPr>
          <w:p>
            <w:pPr>
              <w:spacing w:after="0"/>
              <w:rPr>
                <w:sz w:val="19"/>
                <w:szCs w:val="19"/>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Years)</w:t>
            </w:r>
          </w:p>
        </w:tc>
        <w:tc>
          <w:tcPr>
            <w:tcW w:w="36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1"/>
              </w:rPr>
              <w:t>(In Thousands)</w:t>
            </w:r>
          </w:p>
        </w:tc>
        <w:tc>
          <w:tcPr>
            <w:tcW w:w="0" w:type="dxa"/>
            <w:vAlign w:val="bottom"/>
          </w:tcPr>
          <w:p>
            <w:pPr>
              <w:spacing w:after="0"/>
              <w:rPr>
                <w:sz w:val="1"/>
                <w:szCs w:val="1"/>
                <w:color w:val="auto"/>
              </w:rPr>
            </w:pPr>
          </w:p>
        </w:tc>
      </w:tr>
      <w:tr>
        <w:trPr>
          <w:trHeight w:val="211"/>
        </w:trPr>
        <w:tc>
          <w:tcPr>
            <w:tcW w:w="4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as of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624,964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2440" w:type="dxa"/>
            <w:vAlign w:val="bottom"/>
            <w:gridSpan w:val="3"/>
          </w:tcPr>
          <w:p>
            <w:pPr>
              <w:jc w:val="right"/>
              <w:ind w:right="36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Canceled/Forfeited</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624,964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Vested and exercisable as of June 30, 2021</w:t>
            </w:r>
          </w:p>
        </w:tc>
        <w:tc>
          <w:tcPr>
            <w:tcW w:w="6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86,792</w:t>
            </w:r>
          </w:p>
        </w:tc>
        <w:tc>
          <w:tcPr>
            <w:tcW w:w="7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0.90</w:t>
            </w:r>
          </w:p>
        </w:tc>
        <w:tc>
          <w:tcPr>
            <w:tcW w:w="70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9.7</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2021</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624,964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4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2021, 230,112 shares were available for future grants under the 2020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0"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Stock based compensation expense recognized for stock option grants included in the accompanying condensed consolidated statements of operations and comprehensive loss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tcPr>
          <w:p>
            <w:pPr>
              <w:spacing w:after="0"/>
              <w:rPr>
                <w:sz w:val="19"/>
                <w:szCs w:val="19"/>
                <w:color w:val="auto"/>
              </w:rPr>
            </w:pPr>
          </w:p>
        </w:tc>
        <w:tc>
          <w:tcPr>
            <w:tcW w:w="2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83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ind w:right="438"/>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7"/>
              </w:rPr>
              <w:t>—</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477</w:t>
            </w:r>
          </w:p>
        </w:tc>
      </w:tr>
      <w:tr>
        <w:trPr>
          <w:trHeight w:val="27"/>
        </w:trPr>
        <w:tc>
          <w:tcPr>
            <w:tcW w:w="8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600" w:type="dxa"/>
            <w:vAlign w:val="bottom"/>
            <w:shd w:val="clear" w:color="auto" w:fill="CCEEFF"/>
          </w:tcPr>
          <w:p>
            <w:pPr>
              <w:jc w:val="right"/>
              <w:ind w:right="438"/>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20"/>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517</w:t>
            </w:r>
          </w:p>
        </w:tc>
      </w:tr>
      <w:tr>
        <w:trPr>
          <w:trHeight w:val="20"/>
        </w:trPr>
        <w:tc>
          <w:tcPr>
            <w:tcW w:w="8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49"/>
        <w:spacing w:after="0" w:line="268" w:lineRule="auto"/>
        <w:rPr>
          <w:sz w:val="20"/>
          <w:szCs w:val="20"/>
          <w:color w:val="auto"/>
        </w:rPr>
      </w:pPr>
      <w:r>
        <w:rPr>
          <w:rFonts w:ascii="Arial" w:cs="Arial" w:eastAsia="Arial" w:hAnsi="Arial"/>
          <w:sz w:val="18"/>
          <w:szCs w:val="18"/>
          <w:color w:val="auto"/>
        </w:rPr>
        <w:t>As of December 31, 2020, there were no outstanding options and no unrecognized compensation cost related to options. As of June 30, 2021, 538,172 unvested options were outstanding with unrecognized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9" w:right="3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costs of $0.6 million expected to be recognized over a weighted-average period of approximately 3.1 years.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the fair value of the stock options granted, the Company uses the Black-Scholes option-pricing model and assumptions discussed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inputs is subjective and generally requires significant judgment.</w:t>
      </w:r>
    </w:p>
    <w:p>
      <w:pPr>
        <w:spacing w:after="0" w:line="84"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Company’s expected term represents the period that the Company’s stock- based awards are expected to be outstanding.</w:t>
      </w:r>
    </w:p>
    <w:p>
      <w:pPr>
        <w:spacing w:after="0" w:line="113" w:lineRule="exact"/>
        <w:rPr>
          <w:sz w:val="20"/>
          <w:szCs w:val="20"/>
          <w:color w:val="auto"/>
        </w:rPr>
      </w:pPr>
    </w:p>
    <w:p>
      <w:pPr>
        <w:ind w:left="1020"/>
        <w:spacing w:after="0" w:line="25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 volatility was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historical volatilities for 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66" w:lineRule="exact"/>
        <w:rPr>
          <w:sz w:val="20"/>
          <w:szCs w:val="20"/>
          <w:color w:val="auto"/>
        </w:rPr>
      </w:pPr>
    </w:p>
    <w:p>
      <w:pPr>
        <w:ind w:left="1020" w:right="360"/>
        <w:spacing w:after="0" w:line="268"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51"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—The Company has never paid dividends on its common stock and has no plans to pay dividends on its common stock.</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stock options was estimated using the following assumptions:</w:t>
      </w:r>
    </w:p>
    <w:p>
      <w:pPr>
        <w:spacing w:after="0" w:line="206"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Six Months Ended June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r>
      <w:tr>
        <w:trPr>
          <w:trHeight w:val="210"/>
        </w:trPr>
        <w:tc>
          <w:tcPr>
            <w:tcW w:w="8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color w:val="auto"/>
        </w:rPr>
        <w:t>For the six months ended June 30 2021, the Company recognized $0.1 million in stock-based compensation related to the restricted stock issued to certain founders. As of December 31, 2020 and June 30, 2021, the total unrecognized compensation costs related to the 141,560 unvested restricted stock awards granted was $0.3 million and $0.2 million, respectively, which the Company expects to recognize over a weighted-average period of approximately 2.0 years and 1.5 years,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ind w:right="220" w:firstLine="449"/>
        <w:spacing w:after="0" w:line="268" w:lineRule="auto"/>
        <w:rPr>
          <w:sz w:val="20"/>
          <w:szCs w:val="20"/>
          <w:color w:val="auto"/>
        </w:rPr>
      </w:pPr>
      <w:r>
        <w:rPr>
          <w:rFonts w:ascii="Arial" w:cs="Arial" w:eastAsia="Arial" w:hAnsi="Arial"/>
          <w:sz w:val="18"/>
          <w:szCs w:val="18"/>
          <w:color w:val="auto"/>
        </w:rPr>
        <w:t>The Company evaluated subsequent events for recognition and measurement purposes through October 1, 2021, the date the financial statements were available for issuance.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90" w:lineRule="exact"/>
        <w:rPr>
          <w:sz w:val="20"/>
          <w:szCs w:val="20"/>
          <w:color w:val="auto"/>
        </w:rPr>
      </w:pPr>
    </w:p>
    <w:p>
      <w:pPr>
        <w:ind w:right="180" w:firstLine="449"/>
        <w:spacing w:after="0" w:line="306" w:lineRule="auto"/>
        <w:rPr>
          <w:sz w:val="20"/>
          <w:szCs w:val="20"/>
          <w:color w:val="auto"/>
        </w:rPr>
      </w:pPr>
      <w:r>
        <w:rPr>
          <w:rFonts w:ascii="Arial" w:cs="Arial" w:eastAsia="Arial" w:hAnsi="Arial"/>
          <w:sz w:val="16"/>
          <w:szCs w:val="16"/>
          <w:color w:val="auto"/>
        </w:rPr>
        <w:t>From August through September 2021, the Company granted an aggregate of 764,276 ISOs and NSOs to certain of its employees and nonemployees under the 2020 Plan, each with an exercise price of $8.80 per share. On September 27, 2021, the Company granted an aggregate of 34,658 ISOs and NSOs to certain of its employees and non-employees under the 2020 Plan, each with an exercise price of $11.56 per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A-2 Milestone Closing</w:t>
      </w:r>
    </w:p>
    <w:p>
      <w:pPr>
        <w:spacing w:after="0" w:line="90"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July 2021, in advance of the Series B convertible preferred stock financing, the existing Series A-2 convertible preferred stockholders exercised their right to purchase the remaining Milestone Closing shares and the Company sold 1,838,233 shares of Series A-2 convertible preferred stock at $11.42 per share for aggregate gross proceeds of $21.0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Convertible Preferred Stock Funding</w:t>
      </w:r>
    </w:p>
    <w:p>
      <w:pPr>
        <w:spacing w:after="0" w:line="90" w:lineRule="exact"/>
        <w:rPr>
          <w:sz w:val="20"/>
          <w:szCs w:val="20"/>
          <w:color w:val="auto"/>
        </w:rPr>
      </w:pPr>
    </w:p>
    <w:p>
      <w:pPr>
        <w:ind w:right="100" w:firstLine="449"/>
        <w:spacing w:after="0" w:line="268" w:lineRule="auto"/>
        <w:rPr>
          <w:sz w:val="20"/>
          <w:szCs w:val="20"/>
          <w:color w:val="auto"/>
        </w:rPr>
      </w:pPr>
      <w:r>
        <w:rPr>
          <w:rFonts w:ascii="Arial" w:cs="Arial" w:eastAsia="Arial" w:hAnsi="Arial"/>
          <w:sz w:val="18"/>
          <w:szCs w:val="18"/>
          <w:color w:val="auto"/>
        </w:rPr>
        <w:t>In July 2021, the Company sold 7,234,766 shares of Series B convertible preferred stock in a single closing to new and existing investors at $15.55 per share for aggregate gross proceeds of $112.5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90" w:lineRule="exact"/>
        <w:rPr>
          <w:sz w:val="20"/>
          <w:szCs w:val="20"/>
          <w:color w:val="auto"/>
        </w:rPr>
      </w:pPr>
    </w:p>
    <w:p>
      <w:pPr>
        <w:ind w:right="680" w:firstLine="449"/>
        <w:spacing w:after="0" w:line="369" w:lineRule="auto"/>
        <w:rPr>
          <w:sz w:val="20"/>
          <w:szCs w:val="20"/>
          <w:color w:val="auto"/>
        </w:rPr>
      </w:pPr>
      <w:r>
        <w:rPr>
          <w:rFonts w:ascii="Arial" w:cs="Arial" w:eastAsia="Arial" w:hAnsi="Arial"/>
          <w:sz w:val="15"/>
          <w:szCs w:val="15"/>
          <w:color w:val="auto"/>
        </w:rPr>
        <w:t>In September 2021, the Company entered into a lease for laboratory space in Hopkinton, Massachusetts. The lease is expected to commence in December 2021 and expires in December 2026. Lease payments start at a rate of $0.1 million per year and are subject to an annual 2.5% increase.</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60"/>
          </w:cols>
          <w:pgMar w:left="320" w:top="459"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Through and including (25 days after the commencement of this offering),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497840</wp:posOffset>
            </wp:positionV>
            <wp:extent cx="2802890" cy="925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0289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549275</wp:posOffset>
            </wp:positionV>
            <wp:extent cx="18516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71120</wp:posOffset>
            </wp:positionV>
            <wp:extent cx="18516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BofA Securities</w:t>
      </w:r>
    </w:p>
    <w:p>
      <w:pPr>
        <w:spacing w:after="0" w:line="64"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SVB Leerink</w:t>
      </w:r>
    </w:p>
    <w:p>
      <w:pPr>
        <w:spacing w:after="0" w:line="64"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Stifel</w:t>
      </w:r>
    </w:p>
    <w:p>
      <w:pPr>
        <w:spacing w:after="0" w:line="64"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Wedbush PacGrow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1118235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1152525</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6" w:lineRule="exact"/>
        <w:rPr>
          <w:sz w:val="20"/>
          <w:szCs w:val="20"/>
          <w:color w:val="auto"/>
        </w:rPr>
      </w:pPr>
    </w:p>
    <w:p>
      <w:pPr>
        <w:ind w:right="160" w:firstLine="449"/>
        <w:spacing w:after="0" w:line="268"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w:t>
            </w:r>
          </w:p>
        </w:tc>
      </w:tr>
      <w:tr>
        <w:trPr>
          <w:trHeight w:val="229"/>
        </w:trPr>
        <w:tc>
          <w:tcPr>
            <w:tcW w:w="124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to be Paid</w:t>
            </w:r>
          </w:p>
        </w:tc>
      </w:tr>
      <w:tr>
        <w:trPr>
          <w:trHeight w:val="210"/>
        </w:trPr>
        <w:tc>
          <w:tcPr>
            <w:tcW w:w="10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Printing and mailing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103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240" w:type="dxa"/>
            <w:vAlign w:val="bottom"/>
            <w:tcBorders>
              <w:bottom w:val="single" w:sz="8" w:color="auto"/>
            </w:tcBorders>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6" w:lineRule="exact"/>
        <w:rPr>
          <w:sz w:val="20"/>
          <w:szCs w:val="20"/>
          <w:color w:val="auto"/>
        </w:rPr>
      </w:pPr>
    </w:p>
    <w:p>
      <w:pPr>
        <w:ind w:left="440" w:hanging="432"/>
        <w:spacing w:after="0"/>
        <w:tabs>
          <w:tab w:leader="none" w:pos="44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96"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Section 145 of the Delaware General Corporation Law, or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24" w:lineRule="exact"/>
        <w:rPr>
          <w:sz w:val="20"/>
          <w:szCs w:val="20"/>
          <w:color w:val="auto"/>
        </w:rPr>
      </w:pPr>
    </w:p>
    <w:p>
      <w:pPr>
        <w:ind w:right="280" w:firstLine="449"/>
        <w:spacing w:after="0" w:line="298" w:lineRule="auto"/>
        <w:rPr>
          <w:sz w:val="20"/>
          <w:szCs w:val="20"/>
          <w:color w:val="auto"/>
        </w:rPr>
      </w:pPr>
      <w:r>
        <w:rPr>
          <w:rFonts w:ascii="Arial" w:cs="Arial" w:eastAsia="Arial" w:hAnsi="Arial"/>
          <w:sz w:val="16"/>
          <w:szCs w:val="16"/>
          <w:color w:val="auto"/>
        </w:rPr>
        <w:t>We have adopted provisions in our amended and restated certificate of incorporation to be in effect upon the closing of this offering and amended and restated bylaws to be in effect upon the effectiveness of this registration statement of which this prospectus forms a part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31" w:lineRule="exact"/>
        <w:rPr>
          <w:sz w:val="20"/>
          <w:szCs w:val="20"/>
          <w:color w:val="auto"/>
        </w:rPr>
      </w:pPr>
    </w:p>
    <w:p>
      <w:pPr>
        <w:ind w:left="880" w:hanging="427"/>
        <w:spacing w:after="0"/>
        <w:tabs>
          <w:tab w:leader="none" w:pos="8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90" w:lineRule="exact"/>
        <w:rPr>
          <w:rFonts w:ascii="Arial" w:cs="Arial" w:eastAsia="Arial" w:hAnsi="Arial"/>
          <w:sz w:val="18"/>
          <w:szCs w:val="18"/>
          <w:color w:val="auto"/>
        </w:rPr>
      </w:pPr>
    </w:p>
    <w:p>
      <w:pPr>
        <w:ind w:left="880" w:hanging="427"/>
        <w:spacing w:after="0"/>
        <w:tabs>
          <w:tab w:leader="none" w:pos="8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bylaws to be in effect upon the effectiveness of this registration statement provide that:</w:t>
      </w:r>
    </w:p>
    <w:p>
      <w:pPr>
        <w:spacing w:after="0" w:line="90" w:lineRule="exact"/>
        <w:rPr>
          <w:sz w:val="20"/>
          <w:szCs w:val="20"/>
          <w:color w:val="auto"/>
        </w:rPr>
      </w:pPr>
    </w:p>
    <w:p>
      <w:pPr>
        <w:ind w:left="880" w:right="240" w:hanging="427"/>
        <w:spacing w:after="0" w:line="268" w:lineRule="auto"/>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50" w:lineRule="exact"/>
        <w:rPr>
          <w:rFonts w:ascii="Arial" w:cs="Arial" w:eastAsia="Arial" w:hAnsi="Arial"/>
          <w:sz w:val="18"/>
          <w:szCs w:val="18"/>
          <w:color w:val="auto"/>
        </w:rPr>
      </w:pPr>
    </w:p>
    <w:p>
      <w:pPr>
        <w:ind w:left="880" w:right="60" w:hanging="427"/>
        <w:spacing w:after="0" w:line="331" w:lineRule="auto"/>
        <w:tabs>
          <w:tab w:leader="none" w:pos="8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87"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We intend to enter into indemnification agreements with each of our directors and executive officers. These agreements will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will agree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19" w:lineRule="exact"/>
        <w:rPr>
          <w:sz w:val="20"/>
          <w:szCs w:val="20"/>
          <w:color w:val="auto"/>
        </w:rPr>
      </w:pPr>
    </w:p>
    <w:p>
      <w:pPr>
        <w:ind w:right="80" w:firstLine="449"/>
        <w:spacing w:after="0" w:line="331" w:lineRule="auto"/>
        <w:rPr>
          <w:sz w:val="20"/>
          <w:szCs w:val="20"/>
          <w:color w:val="auto"/>
        </w:rPr>
      </w:pPr>
      <w:r>
        <w:rPr>
          <w:rFonts w:ascii="Arial" w:cs="Arial" w:eastAsia="Arial" w:hAnsi="Arial"/>
          <w:sz w:val="16"/>
          <w:szCs w:val="16"/>
          <w:color w:val="auto"/>
        </w:rPr>
        <w:t>We will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87" w:lineRule="exact"/>
        <w:rPr>
          <w:sz w:val="20"/>
          <w:szCs w:val="20"/>
          <w:color w:val="auto"/>
        </w:rPr>
      </w:pPr>
    </w:p>
    <w:p>
      <w:pPr>
        <w:ind w:right="300" w:firstLine="449"/>
        <w:spacing w:after="0" w:line="268"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 Securities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information regarding securities we have issued within the past three years that were not registered under the Securities Act.</w:t>
      </w:r>
    </w:p>
    <w:p>
      <w:pPr>
        <w:spacing w:after="0" w:line="19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November 2020, we sold an aggregate of 1,372,970 shares of Series A-1 Convertible Preferred Stock at a purchase price of $11.4240 per share for aggregate proceeds of $15.7 million. Each share of our Series A-1 Convertible Preferred Stock will convert automatically into one share of our common stock immediately prior to the completion of this offering.</w:t>
      </w:r>
    </w:p>
    <w:p>
      <w:pPr>
        <w:spacing w:after="0" w:line="140" w:lineRule="exact"/>
        <w:rPr>
          <w:sz w:val="20"/>
          <w:szCs w:val="20"/>
          <w:color w:val="auto"/>
        </w:rPr>
      </w:pPr>
    </w:p>
    <w:p>
      <w:pPr>
        <w:jc w:val="both"/>
        <w:ind w:right="40" w:firstLine="449"/>
        <w:spacing w:after="0" w:line="306" w:lineRule="auto"/>
        <w:rPr>
          <w:sz w:val="20"/>
          <w:szCs w:val="20"/>
          <w:color w:val="auto"/>
        </w:rPr>
      </w:pPr>
      <w:r>
        <w:rPr>
          <w:rFonts w:ascii="Arial" w:cs="Arial" w:eastAsia="Arial" w:hAnsi="Arial"/>
          <w:sz w:val="16"/>
          <w:szCs w:val="16"/>
          <w:color w:val="auto"/>
        </w:rPr>
        <w:t>In November 2020, with subsequent closings in May 2021 and July 2021, we sold an aggregate of 3,939,069 shares of Series A-2 Convertible Preferred Stock at a purchase price of $11.4240 per share for aggregate proceeds of $45.0 million. Each share of our Series A-2 Convertible Preferred Stock will convert automatically into one share of our common stock immediately prior to the completion of this offering.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459" w:right="3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right="40" w:firstLine="449"/>
        <w:spacing w:after="0" w:line="331" w:lineRule="auto"/>
        <w:rPr>
          <w:sz w:val="20"/>
          <w:szCs w:val="20"/>
          <w:color w:val="auto"/>
        </w:rPr>
      </w:pPr>
      <w:r>
        <w:rPr>
          <w:rFonts w:ascii="Arial" w:cs="Arial" w:eastAsia="Arial" w:hAnsi="Arial"/>
          <w:sz w:val="16"/>
          <w:szCs w:val="16"/>
          <w:color w:val="auto"/>
        </w:rPr>
        <w:t>In connection with the Series A-2 Convertible Preferred Stock financing, we also issued to RA Capital Healthcare Fund, L.P., Blackwell Partners LLC— Series A and RA Capital Nexus Fund II, L.P. warrants to purchase, in the aggregate, up to 35,529 shares of Series A-2 Convertible Preferred Stock.</w:t>
      </w:r>
    </w:p>
    <w:p>
      <w:pPr>
        <w:spacing w:after="0" w:line="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July 2021, we sold an aggregate of 7,234,766 shares of Series B Convertible Preferred Stock at a purchase price of $15.5499 per share for aggregate proceeds of $112.5 million. Each share of our Series B Convertible Preferred Stock will convert automatically into one share of our common stock immediately prior to the completion of this offering.</w:t>
      </w:r>
    </w:p>
    <w:p>
      <w:pPr>
        <w:spacing w:after="0" w:line="140" w:lineRule="exact"/>
        <w:rPr>
          <w:sz w:val="20"/>
          <w:szCs w:val="20"/>
          <w:color w:val="auto"/>
        </w:rPr>
      </w:pPr>
    </w:p>
    <w:p>
      <w:pPr>
        <w:ind w:right="80" w:firstLine="449"/>
        <w:spacing w:after="0" w:line="253" w:lineRule="auto"/>
        <w:rPr>
          <w:sz w:val="20"/>
          <w:szCs w:val="20"/>
          <w:color w:val="auto"/>
        </w:rPr>
      </w:pPr>
      <w:r>
        <w:rPr>
          <w:rFonts w:ascii="Arial" w:cs="Arial" w:eastAsia="Arial" w:hAnsi="Arial"/>
          <w:sz w:val="18"/>
          <w:szCs w:val="18"/>
          <w:color w:val="auto"/>
        </w:rPr>
        <w:t>No underwriters were involved in the foregoing sales of securities. Unless otherwise stated,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Grants and Exercises of Stock Options</w:t>
      </w:r>
    </w:p>
    <w:p>
      <w:pPr>
        <w:spacing w:after="0" w:line="90"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Through June 30, 2021, we have granted stock options to purchase an aggregate of 624,964 shares of our common stock, with an exercise price of $0.00 to $4.85 per share, to employees, directors and consultants pursuant to the 2020 Plan. Since January 1, 2018, no shares of common stock have been issued upon the exercise of stock options pursuant to the 2020 Plan.</w:t>
      </w:r>
    </w:p>
    <w:p>
      <w:pPr>
        <w:spacing w:after="0" w:line="14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59" w:right="3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4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29"/>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18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17"/>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Second Amended and Restated Certificate of Incorporation of Registrant, as currently in effect</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w w:val="99"/>
              </w:rPr>
              <w:t>Form of Third Amended and Restated Certificate of Incorporation of Registrant, to be effective upon the closing of this offering</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Bylaws of Registrant, as currently in effect</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Form of Amended and Restated Bylaws of Registrant, to be effective upon the closing of this offering</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w w:val="98"/>
              </w:rPr>
              <w:t>Amended and Restated Investors’ Rights Agreement, dated July 30, 2021, among the Registrant and certain of its stockholders</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Specimen Common Stock Certificate</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Opinion of Goodwin Procter LLP</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2020 Stock Plan, as amended, and forms of award agreements thereunder</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2021 Stock Option and Incentive Plan, and forms of award agreements thereunder</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2021 Employee Stock Purchase Plan</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Senior Executive Cash Incentive Bonus Plan</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Non-Employee Director Compensation Policy</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Employment Agreement, dated January 21, 2021, between James McArthur and the Registrant</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Employment Agreement, dated March 18, 2021, between Niels Svenstrup and the Registrant</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Contract of Employment, dated November 1, 2018, between Caroline Godfrey and PepGen Limited</w:t>
            </w:r>
          </w:p>
        </w:tc>
      </w:tr>
      <w:tr>
        <w:trPr>
          <w:trHeight w:val="318"/>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10.10*†</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w w:val="89"/>
              </w:rPr>
              <w:t>License of Technology, dated November 23, 2020, among Oxford University Innovation Limited, Medical Research Counsel as part of United</w:t>
            </w:r>
          </w:p>
        </w:tc>
      </w:tr>
      <w:tr>
        <w:trPr>
          <w:trHeight w:val="222"/>
        </w:trPr>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Kingdom Research and Innovation and PepGen Limited</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Subsidiaries of Registrant</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Consent of KPMG LLP, independent registered public accounting firm</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Consent of Goodwin Procter LLP (included in Exhibit 5.1)</w:t>
            </w:r>
          </w:p>
        </w:tc>
      </w:tr>
      <w:tr>
        <w:trPr>
          <w:trHeight w:val="324"/>
        </w:trPr>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10140" w:type="dxa"/>
            <w:vAlign w:val="bottom"/>
            <w:gridSpan w:val="3"/>
          </w:tcPr>
          <w:p>
            <w:pPr>
              <w:ind w:left="14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886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0" w:lineRule="exact"/>
        <w:rPr>
          <w:sz w:val="20"/>
          <w:szCs w:val="20"/>
          <w:color w:val="auto"/>
        </w:rPr>
      </w:pPr>
    </w:p>
    <w:p>
      <w:pPr>
        <w:ind w:left="440" w:hanging="432"/>
        <w:spacing w:after="0"/>
        <w:tabs>
          <w:tab w:leader="none" w:pos="44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0" w:lineRule="exact"/>
        <w:rPr>
          <w:sz w:val="20"/>
          <w:szCs w:val="20"/>
          <w:color w:val="auto"/>
        </w:rPr>
      </w:pPr>
    </w:p>
    <w:p>
      <w:pPr>
        <w:ind w:left="440" w:hanging="432"/>
        <w:spacing w:after="0"/>
        <w:tabs>
          <w:tab w:leader="none" w:pos="44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Portions of this exhibit (indicated by asterisks) will be omitted in accordance with the rules of the Securities and Exchange Commission.</w:t>
      </w:r>
    </w:p>
    <w:p>
      <w:pPr>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Indicates a management contract or any compensatory plan, contract or arrangement.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Statements Schedules:</w:t>
      </w:r>
    </w:p>
    <w:p>
      <w:pPr>
        <w:spacing w:after="0" w:line="90" w:lineRule="exact"/>
        <w:rPr>
          <w:sz w:val="20"/>
          <w:szCs w:val="20"/>
          <w:color w:val="auto"/>
        </w:rPr>
      </w:pPr>
    </w:p>
    <w:p>
      <w:pPr>
        <w:ind w:right="80" w:firstLine="449"/>
        <w:spacing w:after="0" w:line="268"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0"/>
          </w:cols>
          <w:pgMar w:left="320" w:top="459" w:right="5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6" w:lineRule="exact"/>
        <w:rPr>
          <w:sz w:val="20"/>
          <w:szCs w:val="20"/>
          <w:color w:val="auto"/>
        </w:rPr>
      </w:pPr>
    </w:p>
    <w:p>
      <w:pPr>
        <w:ind w:right="20" w:firstLine="449"/>
        <w:spacing w:after="0" w:line="331"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Insofar as indemnification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 that:</w:t>
      </w:r>
    </w:p>
    <w:p>
      <w:pPr>
        <w:spacing w:after="0" w:line="90" w:lineRule="exact"/>
        <w:rPr>
          <w:sz w:val="20"/>
          <w:szCs w:val="20"/>
          <w:color w:val="auto"/>
        </w:rPr>
      </w:pPr>
    </w:p>
    <w:p>
      <w:pPr>
        <w:jc w:val="both"/>
        <w:ind w:left="460" w:right="20" w:hanging="3"/>
        <w:spacing w:after="0" w:line="306" w:lineRule="auto"/>
        <w:tabs>
          <w:tab w:leader="none" w:pos="67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a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25" w:lineRule="exact"/>
        <w:rPr>
          <w:sz w:val="20"/>
          <w:szCs w:val="20"/>
          <w:color w:val="auto"/>
        </w:rPr>
      </w:pPr>
    </w:p>
    <w:p>
      <w:pPr>
        <w:ind w:left="460" w:right="60" w:hanging="3"/>
        <w:spacing w:after="0" w:line="259" w:lineRule="auto"/>
        <w:tabs>
          <w:tab w:leader="none" w:pos="70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Pursuant to the requirements of the Securities Act, the PepGen Inc. has duly caused this registration statement on Form S-1 to be signed on its behalf by</w:t>
      </w:r>
    </w:p>
    <w:p>
      <w:pPr>
        <w:spacing w:after="0" w:line="38" w:lineRule="exact"/>
        <w:rPr>
          <w:sz w:val="20"/>
          <w:szCs w:val="20"/>
          <w:color w:val="auto"/>
        </w:rPr>
      </w:pPr>
    </w:p>
    <w:p>
      <w:pPr>
        <w:spacing w:after="0"/>
        <w:tabs>
          <w:tab w:leader="none" w:pos="8220" w:val="left"/>
          <w:tab w:leader="none" w:pos="9580" w:val="left"/>
        </w:tabs>
        <w:rPr>
          <w:sz w:val="20"/>
          <w:szCs w:val="20"/>
          <w:color w:val="auto"/>
        </w:rPr>
      </w:pPr>
      <w:r>
        <w:rPr>
          <w:rFonts w:ascii="Arial" w:cs="Arial" w:eastAsia="Arial" w:hAnsi="Arial"/>
          <w:sz w:val="16"/>
          <w:szCs w:val="16"/>
          <w:color w:val="auto"/>
        </w:rPr>
        <w:t>the undersigned, thereunto duly authorized, in the City of Cambridge, Commonwealth of Massachusetts,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5"/>
          <w:szCs w:val="15"/>
          <w:color w:val="auto"/>
        </w:rPr>
        <w:t>, 2021.</w:t>
      </w:r>
    </w:p>
    <w:p>
      <w:pPr>
        <w:spacing w:after="0" w:line="19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PEPGEN INC.</w:t>
      </w:r>
    </w:p>
    <w:p>
      <w:pPr>
        <w:spacing w:after="0" w:line="23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10795</wp:posOffset>
            </wp:positionV>
            <wp:extent cx="261429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James McArthur, Ph.D.</w:t>
      </w:r>
    </w:p>
    <w:p>
      <w:pPr>
        <w:spacing w:after="0" w:line="1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President and Chief Executive Officer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168"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Each individual whose signature appears below hereby constitutes and appoints James McArthur, Ph.D.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24" w:lineRule="exact"/>
        <w:rPr>
          <w:sz w:val="20"/>
          <w:szCs w:val="20"/>
          <w:color w:val="auto"/>
        </w:rPr>
      </w:pPr>
    </w:p>
    <w:p>
      <w:pPr>
        <w:ind w:right="580" w:firstLine="449"/>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have been signed by the following persons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gridSpan w:val="2"/>
          </w:tcPr>
          <w:p>
            <w:pPr>
              <w:ind w:left="2020"/>
              <w:spacing w:after="0"/>
              <w:rPr>
                <w:sz w:val="20"/>
                <w:szCs w:val="20"/>
                <w:color w:val="auto"/>
              </w:rPr>
            </w:pPr>
            <w:r>
              <w:rPr>
                <w:rFonts w:ascii="Arial" w:cs="Arial" w:eastAsia="Arial" w:hAnsi="Arial"/>
                <w:sz w:val="18"/>
                <w:szCs w:val="18"/>
                <w:b w:val="1"/>
                <w:bCs w:val="1"/>
                <w:color w:val="auto"/>
                <w:w w:val="89"/>
              </w:rPr>
              <w:t>Name</w:t>
            </w:r>
          </w:p>
        </w:tc>
        <w:tc>
          <w:tcPr>
            <w:tcW w:w="2000" w:type="dxa"/>
            <w:vAlign w:val="bottom"/>
          </w:tcPr>
          <w:p>
            <w:pPr>
              <w:spacing w:after="0"/>
              <w:rPr>
                <w:sz w:val="19"/>
                <w:szCs w:val="19"/>
                <w:color w:val="auto"/>
              </w:rPr>
            </w:pPr>
          </w:p>
        </w:tc>
        <w:tc>
          <w:tcPr>
            <w:tcW w:w="5400" w:type="dxa"/>
            <w:vAlign w:val="bottom"/>
            <w:gridSpan w:val="3"/>
          </w:tcPr>
          <w:p>
            <w:pPr>
              <w:ind w:left="2060"/>
              <w:spacing w:after="0"/>
              <w:rPr>
                <w:sz w:val="20"/>
                <w:szCs w:val="20"/>
                <w:color w:val="auto"/>
              </w:rPr>
            </w:pPr>
            <w:r>
              <w:rPr>
                <w:rFonts w:ascii="Arial" w:cs="Arial" w:eastAsia="Arial" w:hAnsi="Arial"/>
                <w:sz w:val="18"/>
                <w:szCs w:val="18"/>
                <w:b w:val="1"/>
                <w:bCs w:val="1"/>
                <w:color w:val="auto"/>
              </w:rPr>
              <w:t>Title</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40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90"/>
        </w:trPr>
        <w:tc>
          <w:tcPr>
            <w:tcW w:w="2480" w:type="dxa"/>
            <w:vAlign w:val="bottom"/>
            <w:gridSpan w:val="2"/>
          </w:tcPr>
          <w:p>
            <w:pPr>
              <w:spacing w:after="0" w:line="189" w:lineRule="exact"/>
              <w:rPr>
                <w:sz w:val="20"/>
                <w:szCs w:val="20"/>
                <w:color w:val="auto"/>
              </w:rPr>
            </w:pPr>
            <w:r>
              <w:rPr>
                <w:rFonts w:ascii="Arial" w:cs="Arial" w:eastAsia="Arial" w:hAnsi="Arial"/>
                <w:sz w:val="18"/>
                <w:szCs w:val="18"/>
                <w:color w:val="auto"/>
              </w:rPr>
              <w:t>James McArthur, Ph.D.</w:t>
            </w:r>
          </w:p>
        </w:tc>
        <w:tc>
          <w:tcPr>
            <w:tcW w:w="2000" w:type="dxa"/>
            <w:vAlign w:val="bottom"/>
          </w:tcPr>
          <w:p>
            <w:pPr>
              <w:spacing w:after="0"/>
              <w:rPr>
                <w:sz w:val="16"/>
                <w:szCs w:val="16"/>
                <w:color w:val="auto"/>
              </w:rPr>
            </w:pPr>
          </w:p>
        </w:tc>
        <w:tc>
          <w:tcPr>
            <w:tcW w:w="5400" w:type="dxa"/>
            <w:vAlign w:val="bottom"/>
            <w:gridSpan w:val="3"/>
          </w:tcPr>
          <w:p>
            <w:pPr>
              <w:ind w:left="260"/>
              <w:spacing w:after="0" w:line="189" w:lineRule="exact"/>
              <w:rPr>
                <w:sz w:val="20"/>
                <w:szCs w:val="20"/>
                <w:color w:val="auto"/>
              </w:rPr>
            </w:pPr>
            <w:r>
              <w:rPr>
                <w:rFonts w:ascii="Arial" w:cs="Arial" w:eastAsia="Arial" w:hAnsi="Arial"/>
                <w:sz w:val="18"/>
                <w:szCs w:val="18"/>
                <w:i w:val="1"/>
                <w:iCs w:val="1"/>
                <w:color w:val="auto"/>
              </w:rPr>
              <w:t>Principal Executive Officer, Principal Financial Officer</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400" w:type="dxa"/>
            <w:vAlign w:val="bottom"/>
            <w:gridSpan w:val="3"/>
          </w:tcPr>
          <w:p>
            <w:pPr>
              <w:ind w:left="260"/>
              <w:spacing w:after="0"/>
              <w:rPr>
                <w:sz w:val="20"/>
                <w:szCs w:val="20"/>
                <w:color w:val="auto"/>
              </w:rPr>
            </w:pPr>
            <w:r>
              <w:rPr>
                <w:rFonts w:ascii="Arial" w:cs="Arial" w:eastAsia="Arial" w:hAnsi="Arial"/>
                <w:sz w:val="18"/>
                <w:szCs w:val="18"/>
                <w:i w:val="1"/>
                <w:iCs w:val="1"/>
                <w:color w:val="auto"/>
              </w:rPr>
              <w:t>and Principal Accounting Officer</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4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Christopher Ashton, Ph.D.</w:t>
            </w:r>
          </w:p>
        </w:tc>
        <w:tc>
          <w:tcPr>
            <w:tcW w:w="2000" w:type="dxa"/>
            <w:vAlign w:val="bottom"/>
          </w:tcPr>
          <w:p>
            <w:pPr>
              <w:spacing w:after="0"/>
              <w:rPr>
                <w:sz w:val="8"/>
                <w:szCs w:val="8"/>
                <w:color w:val="auto"/>
              </w:rPr>
            </w:pPr>
          </w:p>
        </w:tc>
        <w:tc>
          <w:tcPr>
            <w:tcW w:w="5400" w:type="dxa"/>
            <w:vAlign w:val="bottom"/>
            <w:gridSpan w:val="3"/>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8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2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4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Ramin Farzaneh-Far, M.D.</w:t>
            </w:r>
          </w:p>
        </w:tc>
        <w:tc>
          <w:tcPr>
            <w:tcW w:w="2000" w:type="dxa"/>
            <w:vAlign w:val="bottom"/>
          </w:tcPr>
          <w:p>
            <w:pPr>
              <w:spacing w:after="0"/>
              <w:rPr>
                <w:sz w:val="8"/>
                <w:szCs w:val="8"/>
                <w:color w:val="auto"/>
              </w:rPr>
            </w:pPr>
          </w:p>
        </w:tc>
        <w:tc>
          <w:tcPr>
            <w:tcW w:w="5400" w:type="dxa"/>
            <w:vAlign w:val="bottom"/>
            <w:gridSpan w:val="3"/>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8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2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4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99"/>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Heidi Henson</w:t>
            </w:r>
          </w:p>
        </w:tc>
        <w:tc>
          <w:tcPr>
            <w:tcW w:w="2000" w:type="dxa"/>
            <w:vAlign w:val="bottom"/>
          </w:tcPr>
          <w:p>
            <w:pPr>
              <w:spacing w:after="0"/>
              <w:rPr>
                <w:sz w:val="8"/>
                <w:szCs w:val="8"/>
                <w:color w:val="auto"/>
              </w:rPr>
            </w:pPr>
          </w:p>
        </w:tc>
        <w:tc>
          <w:tcPr>
            <w:tcW w:w="5400" w:type="dxa"/>
            <w:vAlign w:val="bottom"/>
            <w:gridSpan w:val="3"/>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8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2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400" w:type="dxa"/>
            <w:vAlign w:val="bottom"/>
            <w:gridSpan w:val="3"/>
            <w:vMerge w:val="restart"/>
          </w:tcPr>
          <w:p>
            <w:pPr>
              <w:ind w:left="260"/>
              <w:spacing w:after="0"/>
              <w:rPr>
                <w:sz w:val="20"/>
                <w:szCs w:val="20"/>
                <w:color w:val="auto"/>
              </w:rPr>
            </w:pPr>
            <w:r>
              <w:rPr>
                <w:rFonts w:ascii="Arial" w:cs="Arial" w:eastAsia="Arial" w:hAnsi="Arial"/>
                <w:sz w:val="18"/>
                <w:szCs w:val="18"/>
                <w:color w:val="auto"/>
              </w:rPr>
              <w:t>Director</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0"/>
        </w:trPr>
        <w:tc>
          <w:tcPr>
            <w:tcW w:w="2480" w:type="dxa"/>
            <w:vAlign w:val="bottom"/>
            <w:gridSpan w:val="2"/>
            <w:vMerge w:val="restart"/>
          </w:tcPr>
          <w:p>
            <w:pPr>
              <w:spacing w:after="0"/>
              <w:rPr>
                <w:sz w:val="20"/>
                <w:szCs w:val="20"/>
                <w:color w:val="auto"/>
              </w:rPr>
            </w:pPr>
            <w:r>
              <w:rPr>
                <w:rFonts w:ascii="Arial" w:cs="Arial" w:eastAsia="Arial" w:hAnsi="Arial"/>
                <w:sz w:val="18"/>
                <w:szCs w:val="18"/>
                <w:color w:val="auto"/>
              </w:rPr>
              <w:t>Joshua Resnick, M.D., M.B.A</w:t>
            </w:r>
          </w:p>
        </w:tc>
        <w:tc>
          <w:tcPr>
            <w:tcW w:w="2000" w:type="dxa"/>
            <w:vAlign w:val="bottom"/>
          </w:tcPr>
          <w:p>
            <w:pPr>
              <w:spacing w:after="0"/>
              <w:rPr>
                <w:sz w:val="8"/>
                <w:szCs w:val="8"/>
                <w:color w:val="auto"/>
              </w:rPr>
            </w:pPr>
          </w:p>
        </w:tc>
        <w:tc>
          <w:tcPr>
            <w:tcW w:w="5400" w:type="dxa"/>
            <w:vAlign w:val="bottom"/>
            <w:gridSpan w:val="3"/>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48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decimal"/>
      <w:start w:val="1"/>
    </w:lvl>
  </w:abstractNum>
  <w:abstractNum w:abstractNumId="1">
    <w:nsid w:val="14330624"/>
    <w:multiLevelType w:val="hybridMultilevel"/>
    <w:lvl w:ilvl="0">
      <w:lvlJc w:val="left"/>
      <w:lvlText w:val="(%1)"/>
      <w:numFmt w:val="decimal"/>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1)"/>
      <w:numFmt w:val="decimal"/>
      <w:start w:val="1"/>
    </w:lvl>
  </w:abstractNum>
  <w:abstractNum w:abstractNumId="14">
    <w:nsid w:val="14E17E33"/>
    <w:multiLevelType w:val="hybridMultilevel"/>
    <w:lvl w:ilvl="0">
      <w:lvlJc w:val="left"/>
      <w:lvlText w:val="(%1)"/>
      <w:numFmt w:val="decimal"/>
      <w:start w:val="3"/>
    </w:lvl>
  </w:abstractNum>
  <w:abstractNum w:abstractNumId="15">
    <w:nsid w:val="3222E7CD"/>
    <w:multiLevelType w:val="hybridMultilevel"/>
    <w:lvl w:ilvl="0">
      <w:lvlJc w:val="left"/>
      <w:lvlText w:val="(%1)"/>
      <w:numFmt w:val="decimal"/>
      <w:start w:val="4"/>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1)"/>
      <w:numFmt w:val="decimal"/>
      <w:start w:val="1"/>
    </w:lvl>
  </w:abstractNum>
  <w:abstractNum w:abstractNumId="68">
    <w:nsid w:val="78DF6A55"/>
    <w:multiLevelType w:val="hybridMultilevel"/>
    <w:lvl w:ilvl="0">
      <w:lvlJc w:val="left"/>
      <w:lvlText w:val="(%1)"/>
      <w:numFmt w:val="decimal"/>
      <w:start w:val="2"/>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lvl w:ilvl="1">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1)"/>
      <w:numFmt w:val="decimal"/>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
      <w:numFmt w:val="bullet"/>
      <w:start w:val="1"/>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endash "/>
      <w:numFmt w:val="bullet"/>
      <w:start w:val="1"/>
    </w:lvl>
  </w:abstractNum>
  <w:abstractNum w:abstractNumId="90">
    <w:nsid w:val="2C6E4AFD"/>
    <w:multiLevelType w:val="hybridMultilevel"/>
    <w:lvl w:ilvl="0">
      <w:lvlJc w:val="left"/>
      <w:lvlText w:val="%1."/>
      <w:numFmt w:val="decimal"/>
      <w:start w:val="100"/>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1."/>
      <w:numFmt w:val="decimal"/>
      <w:start w:val="963"/>
    </w:lvl>
  </w:abstractNum>
  <w:abstractNum w:abstractNumId="96">
    <w:nsid w:val="5EC6AFD4"/>
    <w:multiLevelType w:val="hybridMultilevel"/>
    <w:lvl w:ilvl="0">
      <w:lvlJc w:val="left"/>
      <w:lvlText w:val="(%1)"/>
      <w:numFmt w:val="lowerLetter"/>
      <w:start w:val="1"/>
    </w:lvl>
  </w:abstractNum>
  <w:abstractNum w:abstractNumId="97">
    <w:nsid w:val="19E21BB2"/>
    <w:multiLevelType w:val="hybridMultilevel"/>
    <w:lvl w:ilvl="0">
      <w:lvlJc w:val="left"/>
      <w:lvlText w:val="•"/>
      <w:numFmt w:val="bullet"/>
      <w:start w:val="1"/>
    </w:lvl>
  </w:abstractNum>
  <w:abstractNum w:abstractNumId="98">
    <w:nsid w:val="75E0858A"/>
    <w:multiLevelType w:val="hybridMultilevel"/>
    <w:lvl w:ilvl="0">
      <w:lvlJc w:val="left"/>
      <w:lvlText w:val="•"/>
      <w:numFmt w:val="bullet"/>
      <w:start w:val="1"/>
    </w:lvl>
  </w:abstractNum>
  <w:abstractNum w:abstractNumId="99">
    <w:nsid w:val="57A61A29"/>
    <w:multiLevelType w:val="hybridMultilevel"/>
    <w:lvl w:ilvl="0">
      <w:lvlJc w:val="left"/>
      <w:lvlText w:val="•"/>
      <w:numFmt w:val="bullet"/>
      <w:start w:val="1"/>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
      <w:numFmt w:val="bullet"/>
      <w:start w:val="1"/>
    </w:lvl>
  </w:abstractNum>
  <w:abstractNum w:abstractNumId="102">
    <w:nsid w:val="4427069A"/>
    <w:multiLevelType w:val="hybridMultilevel"/>
    <w:lvl w:ilvl="0">
      <w:lvlJc w:val="left"/>
      <w:lvlText w:val="•"/>
      <w:numFmt w:val="bullet"/>
      <w:start w:val="1"/>
    </w:lvl>
  </w:abstractNum>
  <w:abstractNum w:abstractNumId="103">
    <w:nsid w:val="B37E80A"/>
    <w:multiLevelType w:val="hybridMultilevel"/>
    <w:lvl w:ilvl="0">
      <w:lvlJc w:val="left"/>
      <w:lvlText w:val="•"/>
      <w:numFmt w:val="bullet"/>
      <w:start w:val="1"/>
    </w:lvl>
  </w:abstractNum>
  <w:abstractNum w:abstractNumId="104">
    <w:nsid w:val="2157F6BC"/>
    <w:multiLevelType w:val="hybridMultilevel"/>
    <w:lvl w:ilvl="0">
      <w:lvlJc w:val="left"/>
      <w:lvlText w:val="(%1)"/>
      <w:numFmt w:val="decimal"/>
      <w:start w:val="1"/>
    </w:lvl>
  </w:abstractNum>
  <w:abstractNum w:abstractNumId="105">
    <w:nsid w:val="704E1DD5"/>
    <w:multiLevelType w:val="hybridMultilevel"/>
    <w:lvl w:ilvl="0">
      <w:lvlJc w:val="left"/>
      <w:lvlText w:val="•"/>
      <w:numFmt w:val="bullet"/>
      <w:start w:val="1"/>
    </w:lvl>
  </w:abstractNum>
  <w:abstractNum w:abstractNumId="106">
    <w:nsid w:val="57D2F10E"/>
    <w:multiLevelType w:val="hybridMultilevel"/>
    <w:lvl w:ilvl="0">
      <w:lvlJc w:val="left"/>
      <w:lvlText w:val="•"/>
      <w:numFmt w:val="bullet"/>
      <w:start w:val="1"/>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
      <w:numFmt w:val="bullet"/>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
      <w:numFmt w:val="bullet"/>
      <w:start w:val="1"/>
    </w:lvl>
  </w:abstractNum>
  <w:abstractNum w:abstractNumId="113">
    <w:nsid w:val="24F6AB8E"/>
    <w:multiLevelType w:val="hybridMultilevel"/>
    <w:lvl w:ilvl="0">
      <w:lvlJc w:val="left"/>
      <w:lvlText w:val="(%1)"/>
      <w:numFmt w:val="decimal"/>
      <w:start w:val="1"/>
    </w:lvl>
  </w:abstractNum>
  <w:abstractNum w:abstractNumId="114">
    <w:nsid w:val="634C574C"/>
    <w:multiLevelType w:val="hybridMultilevel"/>
    <w:lvl w:ilvl="0">
      <w:lvlJc w:val="left"/>
      <w:lvlText w:val="(%1)"/>
      <w:numFmt w:val="decimal"/>
      <w:start w:val="3"/>
    </w:lvl>
  </w:abstractNum>
  <w:abstractNum w:abstractNumId="115">
    <w:nsid w:val="24E99DD7"/>
    <w:multiLevelType w:val="hybridMultilevel"/>
    <w:lvl w:ilvl="0">
      <w:lvlJc w:val="left"/>
      <w:lvlText w:val="(%1)"/>
      <w:numFmt w:val="decimal"/>
      <w:start w:val="3"/>
    </w:lvl>
  </w:abstractNum>
  <w:abstractNum w:abstractNumId="116">
    <w:nsid w:val="2A31B62D"/>
    <w:multiLevelType w:val="hybridMultilevel"/>
    <w:lvl w:ilvl="0">
      <w:lvlJc w:val="left"/>
      <w:lvlText w:val="(%1)"/>
      <w:numFmt w:val="decimal"/>
      <w:start w:val="2"/>
    </w:lvl>
  </w:abstractNum>
  <w:abstractNum w:abstractNumId="117">
    <w:nsid w:val="1849C29B"/>
    <w:multiLevelType w:val="hybridMultilevel"/>
    <w:lvl w:ilvl="0">
      <w:lvlJc w:val="left"/>
      <w:lvlText w:val="(%1)"/>
      <w:numFmt w:val="decimal"/>
      <w:start w:val="3"/>
    </w:lvl>
  </w:abstractNum>
  <w:abstractNum w:abstractNumId="118">
    <w:nsid w:val="7DFF9D09"/>
    <w:multiLevelType w:val="hybridMultilevel"/>
    <w:lvl w:ilvl="0">
      <w:lvlJc w:val="left"/>
      <w:lvlText w:val="(%1)"/>
      <w:numFmt w:val="decimal"/>
      <w:start w:val="1"/>
    </w:lvl>
  </w:abstractNum>
  <w:abstractNum w:abstractNumId="119">
    <w:nsid w:val="754342"/>
    <w:multiLevelType w:val="hybridMultilevel"/>
    <w:lvl w:ilvl="0">
      <w:lvlJc w:val="left"/>
      <w:lvlText w:val="•"/>
      <w:numFmt w:val="bullet"/>
      <w:start w:val="1"/>
    </w:lvl>
  </w:abstractNum>
  <w:abstractNum w:abstractNumId="120">
    <w:nsid w:val="69E7F3E5"/>
    <w:multiLevelType w:val="hybridMultilevel"/>
    <w:lvl w:ilvl="0">
      <w:lvlJc w:val="left"/>
      <w:lvlText w:val="(%1)"/>
      <w:numFmt w:val="decimal"/>
      <w:start w:val="1"/>
    </w:lvl>
  </w:abstractNum>
  <w:abstractNum w:abstractNumId="121">
    <w:nsid w:val="2A6DE806"/>
    <w:multiLevelType w:val="hybridMultilevel"/>
    <w:lvl w:ilvl="0">
      <w:lvlJc w:val="left"/>
      <w:lvlText w:val="(%1)"/>
      <w:numFmt w:val="decimal"/>
      <w:start w:val="1"/>
    </w:lvl>
  </w:abstractNum>
  <w:abstractNum w:abstractNumId="122">
    <w:nsid w:val="1816F8C4"/>
    <w:multiLevelType w:val="hybridMultilevel"/>
    <w:lvl w:ilvl="0">
      <w:lvlJc w:val="left"/>
      <w:lvlText w:val="(%1)"/>
      <w:numFmt w:val="decimal"/>
      <w:start w:val="1"/>
    </w:lvl>
  </w:abstractNum>
  <w:abstractNum w:abstractNumId="123">
    <w:nsid w:val="37DF2233"/>
    <w:multiLevelType w:val="hybridMultilevel"/>
    <w:lvl w:ilvl="0">
      <w:lvlJc w:val="left"/>
      <w:lvlText w:val="•"/>
      <w:numFmt w:val="bullet"/>
      <w:start w:val="1"/>
    </w:lvl>
  </w:abstractNum>
  <w:abstractNum w:abstractNumId="124">
    <w:nsid w:val="7AB49DAF"/>
    <w:multiLevelType w:val="hybridMultilevel"/>
    <w:lvl w:ilvl="0">
      <w:lvlJc w:val="left"/>
      <w:lvlText w:val="*"/>
      <w:numFmt w:val="bullet"/>
      <w:start w:val="1"/>
    </w:lvl>
  </w:abstractNum>
  <w:abstractNum w:abstractNumId="125">
    <w:nsid w:val="759F82CD"/>
    <w:multiLevelType w:val="hybridMultilevel"/>
    <w:lvl w:ilvl="0">
      <w:lvlJc w:val="left"/>
      <w:lvlText w:val="(%1)"/>
      <w:numFmt w:val="decimal"/>
      <w:start w:val="1"/>
    </w:lvl>
  </w:abstractNum>
  <w:abstractNum w:abstractNumId="126">
    <w:nsid w:val="61E74EA3"/>
    <w:multiLevelType w:val="hybridMultilevel"/>
    <w:lvl w:ilvl="0">
      <w:lvlJc w:val="left"/>
      <w:lvlText w:val="(%1)"/>
      <w:numFmt w:val="decimal"/>
      <w:start w:val="3"/>
    </w:lvl>
  </w:abstractNum>
  <w:abstractNum w:abstractNumId="127">
    <w:nsid w:val="597B4D84"/>
    <w:multiLevelType w:val="hybridMultilevel"/>
    <w:lvl w:ilvl="0">
      <w:lvlJc w:val="left"/>
      <w:lvlText w:val="•"/>
      <w:numFmt w:val="bullet"/>
      <w:start w:val="1"/>
    </w:lvl>
  </w:abstractNum>
  <w:abstractNum w:abstractNumId="128">
    <w:nsid w:val="F819E7F"/>
    <w:multiLevelType w:val="hybridMultilevel"/>
    <w:lvl w:ilvl="0">
      <w:lvlJc w:val="left"/>
      <w:lvlText w:val="•"/>
      <w:numFmt w:val="bullet"/>
      <w:start w:val="1"/>
    </w:lvl>
  </w:abstractNum>
  <w:abstractNum w:abstractNumId="129">
    <w:nsid w:val="57C7D42D"/>
    <w:multiLevelType w:val="hybridMultilevel"/>
    <w:lvl w:ilvl="0">
      <w:lvlJc w:val="left"/>
      <w:lvlText w:val="•"/>
      <w:numFmt w:val="bullet"/>
      <w:start w:val="1"/>
    </w:lvl>
  </w:abstractNum>
  <w:abstractNum w:abstractNumId="130">
    <w:nsid w:val="312167AD"/>
    <w:multiLevelType w:val="hybridMultilevel"/>
    <w:lvl w:ilvl="0">
      <w:lvlJc w:val="left"/>
      <w:lvlText w:val="•"/>
      <w:numFmt w:val="bullet"/>
      <w:start w:val="1"/>
    </w:lvl>
  </w:abstractNum>
  <w:abstractNum w:abstractNumId="131">
    <w:nsid w:val="631B64D4"/>
    <w:multiLevelType w:val="hybridMultilevel"/>
    <w:lvl w:ilvl="0">
      <w:lvlJc w:val="left"/>
      <w:lvlText w:val="%1."/>
      <w:numFmt w:val="decimal"/>
      <w:start w:val="1"/>
    </w:lvl>
  </w:abstractNum>
  <w:abstractNum w:abstractNumId="132">
    <w:nsid w:val="78B5E776"/>
    <w:multiLevelType w:val="hybridMultilevel"/>
    <w:lvl w:ilvl="0">
      <w:lvlJc w:val="left"/>
      <w:lvlText w:val="%1."/>
      <w:numFmt w:val="decimal"/>
      <w:start w:val="5"/>
    </w:lvl>
  </w:abstractNum>
  <w:abstractNum w:abstractNumId="133">
    <w:nsid w:val="75486E47"/>
    <w:multiLevelType w:val="hybridMultilevel"/>
    <w:lvl w:ilvl="0">
      <w:lvlJc w:val="left"/>
      <w:lvlText w:val="%1."/>
      <w:numFmt w:val="decimal"/>
      <w:start w:val="1"/>
    </w:lvl>
  </w:abstractNum>
  <w:abstractNum w:abstractNumId="134">
    <w:nsid w:val="6E534CDE"/>
    <w:multiLevelType w:val="hybridMultilevel"/>
    <w:lvl w:ilvl="0">
      <w:lvlJc w:val="left"/>
      <w:lvlText w:val="•"/>
      <w:numFmt w:val="bullet"/>
      <w:start w:val="1"/>
    </w:lvl>
  </w:abstractNum>
  <w:abstractNum w:abstractNumId="135">
    <w:nsid w:val="1A0DDE32"/>
    <w:multiLevelType w:val="hybridMultilevel"/>
    <w:lvl w:ilvl="0">
      <w:lvlJc w:val="left"/>
      <w:lvlText w:val="•"/>
      <w:numFmt w:val="bullet"/>
      <w:start w:val="1"/>
    </w:lvl>
  </w:abstractNum>
  <w:abstractNum w:abstractNumId="136">
    <w:nsid w:val="65968C1C"/>
    <w:multiLevelType w:val="hybridMultilevel"/>
    <w:lvl w:ilvl="0">
      <w:lvlJc w:val="left"/>
      <w:lvlText w:val="•"/>
      <w:numFmt w:val="bullet"/>
      <w:start w:val="1"/>
    </w:lvl>
  </w:abstractNum>
  <w:abstractNum w:abstractNumId="137">
    <w:nsid w:val="46263DEC"/>
    <w:multiLevelType w:val="hybridMultilevel"/>
    <w:lvl w:ilvl="0">
      <w:lvlJc w:val="left"/>
      <w:lvlText w:val="%1."/>
      <w:numFmt w:val="lowerLetter"/>
      <w:start w:val="1"/>
    </w:lvl>
  </w:abstractNum>
  <w:abstractNum w:abstractNumId="138">
    <w:nsid w:val="260D8C4A"/>
    <w:multiLevelType w:val="hybridMultilevel"/>
    <w:lvl w:ilvl="0">
      <w:lvlJc w:val="left"/>
      <w:lvlText w:val="%1."/>
      <w:numFmt w:val="lowerLetter"/>
      <w:start w:val="1"/>
    </w:lvl>
  </w:abstractNum>
  <w:abstractNum w:abstractNumId="139">
    <w:nsid w:val="73D4D3C4"/>
    <w:multiLevelType w:val="hybridMultilevel"/>
    <w:lvl w:ilvl="0">
      <w:lvlJc w:val="left"/>
      <w:lvlText w:val="(%1)"/>
      <w:numFmt w:val="lowerRoman"/>
      <w:start w:val="1"/>
    </w:lvl>
  </w:abstractNum>
  <w:abstractNum w:abstractNumId="140">
    <w:nsid w:val="746F2E30"/>
    <w:multiLevelType w:val="hybridMultilevel"/>
    <w:lvl w:ilvl="0">
      <w:lvlJc w:val="left"/>
      <w:lvlText w:val="(%1)"/>
      <w:numFmt w:val="lowerLetter"/>
      <w:start w:val="1"/>
    </w:lvl>
  </w:abstractNum>
  <w:abstractNum w:abstractNumId="141">
    <w:nsid w:val="6FDE8AF6"/>
    <w:multiLevelType w:val="hybridMultilevel"/>
    <w:lvl w:ilvl="0">
      <w:lvlJc w:val="left"/>
      <w:lvlText w:val="(%1)"/>
      <w:numFmt w:val="lowerLetter"/>
      <w:start w:val="1"/>
    </w:lvl>
  </w:abstractNum>
  <w:abstractNum w:abstractNumId="142">
    <w:nsid w:val="3FC32E20"/>
    <w:multiLevelType w:val="hybridMultilevel"/>
    <w:lvl w:ilvl="0">
      <w:lvlJc w:val="left"/>
      <w:lvlText w:val="%1."/>
      <w:numFmt w:val="decimal"/>
      <w:start w:val="2"/>
    </w:lvl>
  </w:abstractNum>
  <w:abstractNum w:abstractNumId="143">
    <w:nsid w:val="49C0E823"/>
    <w:multiLevelType w:val="hybridMultilevel"/>
    <w:lvl w:ilvl="0">
      <w:lvlJc w:val="left"/>
      <w:lvlText w:val="•"/>
      <w:numFmt w:val="bullet"/>
      <w:start w:val="1"/>
    </w:lvl>
  </w:abstractNum>
  <w:abstractNum w:abstractNumId="144">
    <w:nsid w:val="14D53685"/>
    <w:multiLevelType w:val="hybridMultilevel"/>
    <w:lvl w:ilvl="0">
      <w:lvlJc w:val="left"/>
      <w:lvlText w:val="%1."/>
      <w:numFmt w:val="decimal"/>
      <w:start w:val="3"/>
    </w:lvl>
  </w:abstractNum>
  <w:abstractNum w:abstractNumId="145">
    <w:nsid w:val="230F856C"/>
    <w:multiLevelType w:val="hybridMultilevel"/>
    <w:lvl w:ilvl="0">
      <w:lvlJc w:val="left"/>
      <w:lvlText w:val="%1."/>
      <w:numFmt w:val="decimal"/>
      <w:start w:val="5"/>
    </w:lvl>
  </w:abstractNum>
  <w:abstractNum w:abstractNumId="146">
    <w:nsid w:val="6EAA85FB"/>
    <w:multiLevelType w:val="hybridMultilevel"/>
    <w:lvl w:ilvl="0">
      <w:lvlJc w:val="left"/>
      <w:lvlText w:val="%1."/>
      <w:numFmt w:val="decimal"/>
      <w:start w:val="6"/>
    </w:lvl>
  </w:abstractNum>
  <w:abstractNum w:abstractNumId="147">
    <w:nsid w:val="3F06ECB2"/>
    <w:multiLevelType w:val="hybridMultilevel"/>
    <w:lvl w:ilvl="0">
      <w:lvlJc w:val="left"/>
      <w:lvlText w:val="%1."/>
      <w:numFmt w:val="decimal"/>
      <w:start w:val="7"/>
    </w:lvl>
  </w:abstractNum>
  <w:abstractNum w:abstractNumId="148">
    <w:nsid w:val="3B594807"/>
    <w:multiLevelType w:val="hybridMultilevel"/>
    <w:lvl w:ilvl="0">
      <w:lvlJc w:val="left"/>
      <w:lvlText w:val="%1."/>
      <w:numFmt w:val="decimal"/>
      <w:start w:val="9"/>
    </w:lvl>
  </w:abstractNum>
  <w:abstractNum w:abstractNumId="149">
    <w:nsid w:val="6CAA2304"/>
    <w:multiLevelType w:val="hybridMultilevel"/>
    <w:lvl w:ilvl="0">
      <w:lvlJc w:val="left"/>
      <w:lvlText w:val="%1."/>
      <w:numFmt w:val="decimal"/>
      <w:start w:val="2"/>
    </w:lvl>
  </w:abstractNum>
  <w:abstractNum w:abstractNumId="150">
    <w:nsid w:val="3F7C2FF4"/>
    <w:multiLevelType w:val="hybridMultilevel"/>
    <w:lvl w:ilvl="0">
      <w:lvlJc w:val="left"/>
      <w:lvlText w:val="%1."/>
      <w:numFmt w:val="decimal"/>
      <w:start w:val="3"/>
    </w:lvl>
  </w:abstractNum>
  <w:abstractNum w:abstractNumId="151">
    <w:nsid w:val="25413BEC"/>
    <w:multiLevelType w:val="hybridMultilevel"/>
    <w:lvl w:ilvl="0">
      <w:lvlJc w:val="left"/>
      <w:lvlText w:val="%1."/>
      <w:numFmt w:val="decimal"/>
      <w:start w:val="5"/>
    </w:lvl>
  </w:abstractNum>
  <w:abstractNum w:abstractNumId="152">
    <w:nsid w:val="17180B0B"/>
    <w:multiLevelType w:val="hybridMultilevel"/>
    <w:lvl w:ilvl="0">
      <w:lvlJc w:val="left"/>
      <w:lvlText w:val="%1."/>
      <w:numFmt w:val="decimal"/>
      <w:start w:val="6"/>
    </w:lvl>
  </w:abstractNum>
  <w:abstractNum w:abstractNumId="153">
    <w:nsid w:val="579328B9"/>
    <w:multiLevelType w:val="hybridMultilevel"/>
    <w:lvl w:ilvl="0">
      <w:lvlJc w:val="left"/>
      <w:lvlText w:val="%1."/>
      <w:numFmt w:val="decimal"/>
      <w:start w:val="7"/>
    </w:lvl>
  </w:abstractNum>
  <w:abstractNum w:abstractNumId="154">
    <w:nsid w:val="5D205E20"/>
    <w:multiLevelType w:val="hybridMultilevel"/>
    <w:lvl w:ilvl="0">
      <w:lvlJc w:val="left"/>
      <w:lvlText w:val="%1."/>
      <w:numFmt w:val="decimal"/>
      <w:start w:val="9"/>
    </w:lvl>
  </w:abstractNum>
  <w:abstractNum w:abstractNumId="155">
    <w:nsid w:val="11CCA8BA"/>
    <w:multiLevelType w:val="hybridMultilevel"/>
    <w:lvl w:ilvl="0">
      <w:lvlJc w:val="left"/>
      <w:lvlText w:val="*"/>
      <w:numFmt w:val="bullet"/>
      <w:start w:val="1"/>
    </w:lvl>
  </w:abstractNum>
  <w:abstractNum w:abstractNumId="156">
    <w:nsid w:val="4D32AB86"/>
    <w:multiLevelType w:val="hybridMultilevel"/>
    <w:lvl w:ilvl="0">
      <w:lvlJc w:val="left"/>
      <w:lvlText w:val="•"/>
      <w:numFmt w:val="bullet"/>
      <w:start w:val="1"/>
    </w:lvl>
  </w:abstractNum>
  <w:abstractNum w:abstractNumId="157">
    <w:nsid w:val="3F07ACC3"/>
    <w:multiLevelType w:val="hybridMultilevel"/>
    <w:lvl w:ilvl="0">
      <w:lvlJc w:val="left"/>
      <w:lvlText w:val="•"/>
      <w:numFmt w:val="bullet"/>
      <w:start w:val="1"/>
    </w:lvl>
  </w:abstractNum>
  <w:abstractNum w:abstractNumId="158">
    <w:nsid w:val="6B47F63E"/>
    <w:multiLevelType w:val="hybridMultilevel"/>
    <w:lvl w:ilvl="0">
      <w:lvlJc w:val="left"/>
      <w:lvlText w:val="*"/>
      <w:numFmt w:val="bullet"/>
      <w:start w:val="1"/>
    </w:lvl>
  </w:abstractNum>
  <w:abstractNum w:abstractNumId="159">
    <w:nsid w:val="5CB44A05"/>
    <w:multiLevelType w:val="hybridMultilevel"/>
    <w:lvl w:ilvl="0">
      <w:lvlJc w:val="left"/>
      <w:lvlText w:val="†"/>
      <w:numFmt w:val="bullet"/>
      <w:start w:val="1"/>
    </w:lvl>
  </w:abstractNum>
  <w:abstractNum w:abstractNumId="160">
    <w:nsid w:val="16CF80F1"/>
    <w:multiLevelType w:val="hybridMultilevel"/>
    <w:lvl w:ilvl="0">
      <w:lvlJc w:val="left"/>
      <w:lvlText w:val="(%1)"/>
      <w:numFmt w:val="lowerRoman"/>
      <w:start w:val="1"/>
    </w:lvl>
  </w:abstractNum>
  <w:abstractNum w:abstractNumId="161">
    <w:nsid w:val="1C695D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2022-04-18T23:14:15Z</dcterms:created>
  <dcterms:modified xsi:type="dcterms:W3CDTF">2022-04-18T23:14:15Z</dcterms:modified>
</cp:coreProperties>
</file>