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PepGen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58" w:lineRule="exact"/>
        <w:rPr>
          <w:sz w:val="24"/>
          <w:szCs w:val="24"/>
          <w:color w:val="auto"/>
        </w:rPr>
      </w:pPr>
    </w:p>
    <w:tbl>
      <w:tblPr>
        <w:tblLayout w:type="fixed"/>
        <w:tblInd w:w="1260" w:type="dxa"/>
        <w:tblCellMar>
          <w:top w:w="0" w:type="dxa"/>
          <w:left w:w="0" w:type="dxa"/>
          <w:bottom w:w="0" w:type="dxa"/>
          <w:right w:w="0" w:type="dxa"/>
        </w:tblCellMar>
      </w:tblPr>
      <w:tr>
        <w:trPr>
          <w:trHeight w:val="186"/>
        </w:trPr>
        <w:tc>
          <w:tcPr>
            <w:tcW w:w="3240" w:type="dxa"/>
            <w:vAlign w:val="bottom"/>
          </w:tcPr>
          <w:p>
            <w:pPr>
              <w:jc w:val="center"/>
              <w:ind w:right="861"/>
              <w:spacing w:after="0" w:line="186" w:lineRule="exact"/>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Borders>
              <w:top w:val="single" w:sz="8" w:color="auto"/>
            </w:tcBorders>
          </w:tcPr>
          <w:p>
            <w:pPr>
              <w:jc w:val="right"/>
              <w:ind w:right="481"/>
              <w:spacing w:after="0" w:line="186" w:lineRule="exact"/>
              <w:rPr>
                <w:sz w:val="20"/>
                <w:szCs w:val="20"/>
                <w:color w:val="auto"/>
              </w:rPr>
            </w:pPr>
            <w:r>
              <w:rPr>
                <w:rFonts w:ascii="Times New Roman" w:cs="Times New Roman" w:eastAsia="Times New Roman" w:hAnsi="Times New Roman"/>
                <w:sz w:val="18"/>
                <w:szCs w:val="18"/>
                <w:b w:val="1"/>
                <w:bCs w:val="1"/>
                <w:color w:val="auto"/>
              </w:rPr>
              <w:t>001-41374</w:t>
            </w:r>
          </w:p>
        </w:tc>
        <w:tc>
          <w:tcPr>
            <w:tcW w:w="280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85-3819886</w:t>
            </w:r>
          </w:p>
        </w:tc>
      </w:tr>
      <w:tr>
        <w:trPr>
          <w:trHeight w:val="14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24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245 Main Street</w:t>
            </w:r>
          </w:p>
        </w:tc>
        <w:tc>
          <w:tcPr>
            <w:tcW w:w="22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0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240" w:type="dxa"/>
            <w:vAlign w:val="bottom"/>
          </w:tcPr>
          <w:p>
            <w:pPr>
              <w:spacing w:after="0"/>
              <w:rPr>
                <w:sz w:val="18"/>
                <w:szCs w:val="18"/>
                <w:color w:val="auto"/>
              </w:rPr>
            </w:pPr>
          </w:p>
        </w:tc>
        <w:tc>
          <w:tcPr>
            <w:tcW w:w="28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78"/>
        </w:trPr>
        <w:tc>
          <w:tcPr>
            <w:tcW w:w="3240" w:type="dxa"/>
            <w:vAlign w:val="bottom"/>
          </w:tcPr>
          <w:p>
            <w:pPr>
              <w:jc w:val="center"/>
              <w:ind w:right="8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800" w:type="dxa"/>
            <w:vAlign w:val="bottom"/>
          </w:tcPr>
          <w:p>
            <w:pPr>
              <w:jc w:val="center"/>
              <w:ind w:left="16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9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781 797-0979</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PEPG</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10, 2022, PepGen Inc. announced its financial results for the quarter ended September 30, 2022 and other business updates. A copy of the press release is furnished as Exhibit 99.1.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relating to Item 2.02 of this Form 8-K shall be deemed to be furnished and not filed:</w:t>
      </w:r>
    </w:p>
    <w:p>
      <w:pPr>
        <w:spacing w:after="0" w:line="198" w:lineRule="exact"/>
        <w:rPr>
          <w:sz w:val="20"/>
          <w:szCs w:val="20"/>
          <w:color w:val="auto"/>
        </w:rPr>
      </w:pP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PepGen Inc. on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-7620</wp:posOffset>
            </wp:positionV>
            <wp:extent cx="27190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ind w:left="20"/>
        <w:spacing w:after="0"/>
        <w:tabs>
          <w:tab w:leader="none" w:pos="6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41" w:right="5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PEPGEN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Noel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Noel Donnelly,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2728595</wp:posOffset>
            </wp:positionH>
            <wp:positionV relativeFrom="page">
              <wp:posOffset>88900</wp:posOffset>
            </wp:positionV>
            <wp:extent cx="2057400" cy="685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57400" cy="685800"/>
                    </a:xfrm>
                    <a:prstGeom prst="rect">
                      <a:avLst/>
                    </a:prstGeom>
                    <a:noFill/>
                  </pic:spPr>
                </pic:pic>
              </a:graphicData>
            </a:graphic>
          </wp:anchor>
        </w:drawing>
      </w:r>
    </w:p>
    <w:p>
      <w:pPr>
        <w:jc w:val="center"/>
        <w:ind w:right="-19"/>
        <w:spacing w:after="0"/>
        <w:rPr>
          <w:sz w:val="20"/>
          <w:szCs w:val="20"/>
          <w:color w:val="auto"/>
        </w:rPr>
      </w:pPr>
      <w:r>
        <w:rPr>
          <w:rFonts w:ascii="Calibri" w:cs="Calibri" w:eastAsia="Calibri" w:hAnsi="Calibri"/>
          <w:sz w:val="29"/>
          <w:szCs w:val="29"/>
          <w:b w:val="1"/>
          <w:bCs w:val="1"/>
          <w:color w:val="auto"/>
        </w:rPr>
        <w:t>PepGen Reports Third Quarter 2022 Financial Results and Recent Corporate Developments</w:t>
      </w:r>
    </w:p>
    <w:p>
      <w:pPr>
        <w:spacing w:after="0" w:line="243" w:lineRule="exact"/>
        <w:rPr>
          <w:sz w:val="20"/>
          <w:szCs w:val="20"/>
          <w:color w:val="auto"/>
        </w:rPr>
      </w:pPr>
    </w:p>
    <w:p>
      <w:pPr>
        <w:ind w:right="320"/>
        <w:spacing w:after="0" w:line="236" w:lineRule="auto"/>
        <w:rPr>
          <w:sz w:val="20"/>
          <w:szCs w:val="20"/>
          <w:color w:val="auto"/>
        </w:rPr>
      </w:pPr>
      <w:r>
        <w:rPr>
          <w:rFonts w:ascii="Calibri" w:cs="Calibri" w:eastAsia="Calibri" w:hAnsi="Calibri"/>
          <w:sz w:val="20"/>
          <w:szCs w:val="20"/>
          <w:b w:val="1"/>
          <w:bCs w:val="1"/>
          <w:color w:val="auto"/>
        </w:rPr>
        <w:t xml:space="preserve">Boston, November 10, 2022 </w:t>
      </w:r>
      <w:r>
        <w:rPr>
          <w:rFonts w:ascii="Calibri" w:cs="Calibri" w:eastAsia="Calibri" w:hAnsi="Calibri"/>
          <w:sz w:val="20"/>
          <w:szCs w:val="20"/>
          <w:color w:val="auto"/>
        </w:rPr>
        <w:t>– PepGen Inc. (Nasdaq: PEPG), a clinical-stage biotechnology company advancing the next generaton of</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oligonucleotde therapies with the goal of transforming the treatment of severe neuromuscular and neurological diseases, today reported fnancial results for the third quarter ended September 30, 2022 and highlighted recent corporate developments.</w:t>
      </w:r>
    </w:p>
    <w:p>
      <w:pPr>
        <w:spacing w:after="0" w:line="238"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“During the third quarter we reported results from our Phase 1 Healthy Normal Volunteer (HNV) clinical trial of PGN-EDO51, our lead program for the treatment of Duchenne muscular dystrophy (DMD) patents who are amenable to an exon 51 skipping approach. These results exceeded our expectatons, with PGN-EDO51 exhibitng the highest levels of oligonucleotde delivery and exon skipping in a clinical trial following a single dose when compared to publicly-available data,” commented James McArthur, Ph.D., President and CEO of PepGen. “PGN-EDO51 was generally well-tolerated, and we were partcularly pleased to see consistently higher exon 51 skipping data observed at Day 28 compared to Day 10. We believe that this sustained pharmacodynamic actvity observed in humans signals that PGN-EDO51 has the potental to drive accumulaton of exon 51 skipped transcript and dystrophin protein in muscle following a repeat dosing regimen in people living with DMD, and we antcipate initatng a Phase 2a multple ascending dose trial in patents in the frst half of 2023.”</w:t>
      </w:r>
    </w:p>
    <w:p>
      <w:pPr>
        <w:spacing w:after="0" w:line="200" w:lineRule="exact"/>
        <w:rPr>
          <w:sz w:val="20"/>
          <w:szCs w:val="20"/>
          <w:color w:val="auto"/>
        </w:rPr>
      </w:pPr>
    </w:p>
    <w:p>
      <w:pPr>
        <w:spacing w:after="0" w:line="269" w:lineRule="exact"/>
        <w:rPr>
          <w:sz w:val="20"/>
          <w:szCs w:val="20"/>
          <w:color w:val="auto"/>
        </w:rPr>
      </w:pPr>
    </w:p>
    <w:p>
      <w:pPr>
        <w:ind w:right="60"/>
        <w:spacing w:after="0" w:line="241" w:lineRule="auto"/>
        <w:rPr>
          <w:sz w:val="20"/>
          <w:szCs w:val="20"/>
          <w:color w:val="auto"/>
        </w:rPr>
      </w:pPr>
      <w:r>
        <w:rPr>
          <w:rFonts w:ascii="Calibri" w:cs="Calibri" w:eastAsia="Calibri" w:hAnsi="Calibri"/>
          <w:sz w:val="20"/>
          <w:szCs w:val="20"/>
          <w:color w:val="auto"/>
        </w:rPr>
        <w:t>Dr. McArthur contnued, “Alongside the success seen in our Phase 1 HNV trial, we’ve contnued to further advance our Enhanced Delivery Oligonucleotde (EDO) portolio of candidate therapeutcs. We antcipate initatng a Phase 1/2 patent clinical trial of PGN-EDODM1, PepGen’s program for the treatment of myotonic dystrophy type 1 (DM1), in the frst half of 2023, and, based on the results obtained in our Phase 1 trial of PGN-EDO51, we believe that PGN-EDODM1 has the potental to achieve tssue concentratons in DM1 patents that could lead to clinically meaningful outcomes. We also antcipate reportng non-human primate (NHP) data for PGN-EDO53, PepGen’s program for the treatment of DMD patents who are amenable to an exon 53 skipping approach, as well as nominatng our lead investgatonal drug candidates for PGN-EDO45 and PGN-EDO44, for the treatment of DMD patents who are amenable to an exon 45 and exon 44 skipping approach, respectvely, by the end of 2022.”</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Corporate Highlights</w:t>
      </w:r>
    </w:p>
    <w:p>
      <w:pPr>
        <w:spacing w:after="0" w:line="265" w:lineRule="exact"/>
        <w:rPr>
          <w:sz w:val="20"/>
          <w:szCs w:val="20"/>
          <w:color w:val="auto"/>
        </w:rPr>
      </w:pPr>
    </w:p>
    <w:p>
      <w:pPr>
        <w:jc w:val="both"/>
        <w:ind w:left="760" w:hanging="378"/>
        <w:spacing w:after="0"/>
        <w:tabs>
          <w:tab w:leader="none" w:pos="76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September, PepGen appointed Habib Dable to the Company’s Board of Directors. Mr. Dable is an industry veteran and former President and Chief Executve Ofcer of Acceleron Pharma where he led Acceleron’s frst blockbuster launch in 2019, prior to its eventual sale to Merck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left="760" w:hanging="378"/>
        <w:spacing w:after="0"/>
        <w:tabs>
          <w:tab w:leader="none" w:pos="76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September, PepGen reported positve results from its Phase 1 HNV trial of PGN-EDO51 for the treatment of DMD patents whose mutatons are amenable to an exon 51 skipping approach. The Phase 1 trial met its primary endpoint, providing evidence that PGN-EDO51 was generally well tolerated at pharmacologically relevant doses. A dose dependent increase in PGN-EDO51 tssue concentraton and exon skipping was observed in HNV biceps:</w:t>
      </w:r>
    </w:p>
    <w:p>
      <w:pPr>
        <w:spacing w:after="0" w:line="24" w:lineRule="exact"/>
        <w:rPr>
          <w:rFonts w:ascii="Times New Roman" w:cs="Times New Roman" w:eastAsia="Times New Roman" w:hAnsi="Times New Roman"/>
          <w:sz w:val="20"/>
          <w:szCs w:val="20"/>
          <w:color w:val="auto"/>
        </w:rPr>
      </w:pPr>
    </w:p>
    <w:p>
      <w:pPr>
        <w:ind w:left="1500" w:right="16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 </w:t>
      </w:r>
      <w:r>
        <w:rPr>
          <w:rFonts w:ascii="Calibri" w:cs="Calibri" w:eastAsia="Calibri" w:hAnsi="Calibri"/>
          <w:sz w:val="20"/>
          <w:szCs w:val="20"/>
          <w:color w:val="auto"/>
        </w:rPr>
        <w:t>In the 10 mg/kg dose cohort, PGN-EDO51 exhibited mean oligonucleotde tssue concentratons of 19 nM and 11 nM</w:t>
      </w:r>
      <w:r>
        <w:rPr>
          <w:rFonts w:ascii="Times New Roman" w:cs="Times New Roman" w:eastAsia="Times New Roman" w:hAnsi="Times New Roman"/>
          <w:sz w:val="20"/>
          <w:szCs w:val="20"/>
          <w:color w:val="auto"/>
        </w:rPr>
        <w:t xml:space="preserve"> </w:t>
      </w:r>
      <w:r>
        <w:rPr>
          <w:rFonts w:ascii="Calibri" w:cs="Calibri" w:eastAsia="Calibri" w:hAnsi="Calibri"/>
          <w:sz w:val="20"/>
          <w:szCs w:val="20"/>
          <w:color w:val="auto"/>
        </w:rPr>
        <w:t>in biceps biopsies taken at Day 10 (n=6) and Day 28 (n=6), respectvely. In the same 10 mg/kg dose cohort, PGN-EDO51 exhibited mean exon skipping of 1.1% and 1.4% in biceps biopsies taken at Day 10 (n=6) and Day 28 (n=6), respectvely. All AEs observed at this dose level were mild.</w:t>
      </w:r>
    </w:p>
    <w:p>
      <w:pPr>
        <w:spacing w:after="0" w:line="11" w:lineRule="exact"/>
        <w:rPr>
          <w:rFonts w:ascii="Times New Roman" w:cs="Times New Roman" w:eastAsia="Times New Roman" w:hAnsi="Times New Roman"/>
          <w:sz w:val="20"/>
          <w:szCs w:val="20"/>
          <w:color w:val="auto"/>
        </w:rPr>
      </w:pPr>
    </w:p>
    <w:p>
      <w:pPr>
        <w:ind w:left="760" w:right="320"/>
        <w:spacing w:after="0" w:line="222"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Based on cross-trial comparisons with publicly available data, PepGen believes that these results refect the highest levels of exon skipping and oligonucleotde delivery observed in a clinical trial following a single dose when compared to publicly available clinical data for other exon 51 skipping approaches.</w:t>
      </w:r>
    </w:p>
    <w:p>
      <w:pPr>
        <w:spacing w:after="0" w:line="18" w:lineRule="exact"/>
        <w:rPr>
          <w:rFonts w:ascii="Times New Roman" w:cs="Times New Roman" w:eastAsia="Times New Roman" w:hAnsi="Times New Roman"/>
          <w:sz w:val="20"/>
          <w:szCs w:val="20"/>
          <w:color w:val="auto"/>
        </w:rPr>
      </w:pPr>
    </w:p>
    <w:p>
      <w:pPr>
        <w:ind w:left="760" w:right="80" w:hanging="378"/>
        <w:spacing w:after="0" w:line="220" w:lineRule="auto"/>
        <w:tabs>
          <w:tab w:leader="none" w:pos="760" w:val="left"/>
        </w:tabs>
        <w:numPr>
          <w:ilvl w:val="0"/>
          <w:numId w:val="3"/>
        </w:numPr>
        <w:rPr>
          <w:rFonts w:ascii="Times New Roman" w:cs="Times New Roman" w:eastAsia="Times New Roman" w:hAnsi="Times New Roman"/>
          <w:sz w:val="20"/>
          <w:szCs w:val="20"/>
          <w:color w:val="auto"/>
        </w:rPr>
      </w:pPr>
      <w:r>
        <w:rPr>
          <w:rFonts w:ascii="Calibri" w:cs="Calibri" w:eastAsia="Calibri" w:hAnsi="Calibri"/>
          <w:sz w:val="20"/>
          <w:szCs w:val="20"/>
          <w:color w:val="auto"/>
        </w:rPr>
        <w:t>In October, PepGen presented preclinical data from its lead DMD program at the 27</w:t>
      </w:r>
      <w:r>
        <w:rPr>
          <w:rFonts w:ascii="Calibri" w:cs="Calibri" w:eastAsia="Calibri" w:hAnsi="Calibri"/>
          <w:sz w:val="26"/>
          <w:szCs w:val="26"/>
          <w:color w:val="auto"/>
          <w:vertAlign w:val="superscript"/>
        </w:rPr>
        <w:t>th</w:t>
      </w:r>
      <w:r>
        <w:rPr>
          <w:rFonts w:ascii="Calibri" w:cs="Calibri" w:eastAsia="Calibri" w:hAnsi="Calibri"/>
          <w:sz w:val="20"/>
          <w:szCs w:val="20"/>
          <w:color w:val="auto"/>
        </w:rPr>
        <w:t xml:space="preserve"> Annual Congress of the World Muscle Society. The poster presentaton detailed fndings that a single dose of PGN-EDO23, the murine analogue of PGN-EDO51, in the </w:t>
      </w:r>
      <w:r>
        <w:rPr>
          <w:rFonts w:ascii="Calibri" w:cs="Calibri" w:eastAsia="Calibri" w:hAnsi="Calibri"/>
          <w:sz w:val="20"/>
          <w:szCs w:val="20"/>
          <w:i w:val="1"/>
          <w:iCs w:val="1"/>
          <w:color w:val="auto"/>
        </w:rPr>
        <w:t xml:space="preserve">mdx </w:t>
      </w:r>
      <w:r>
        <w:rPr>
          <w:rFonts w:ascii="Calibri" w:cs="Calibri" w:eastAsia="Calibri" w:hAnsi="Calibri"/>
          <w:sz w:val="20"/>
          <w:szCs w:val="20"/>
          <w:color w:val="auto"/>
        </w:rPr>
        <w:t>DMD model achieved up to 93.1% exon skipping and 99.7% dystrophin expression in skeletal muscle, and 62.3% exon</w:t>
      </w:r>
    </w:p>
    <w:p>
      <w:pPr>
        <w:spacing w:after="0" w:line="23" w:lineRule="exact"/>
        <w:rPr>
          <w:rFonts w:ascii="Times New Roman" w:cs="Times New Roman" w:eastAsia="Times New Roman" w:hAnsi="Times New Roman"/>
          <w:sz w:val="20"/>
          <w:szCs w:val="20"/>
          <w:color w:val="auto"/>
        </w:rPr>
      </w:pPr>
    </w:p>
    <w:p>
      <w:pPr>
        <w:jc w:val="both"/>
        <w:ind w:left="760" w:right="20"/>
        <w:spacing w:after="0" w:line="236"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skipping and 25.7% dystrophin expression in the heart. In non-human primates (NHPs), three doses of PGN-EDO51 achieved up to 78% exon skipping in skeletal muscle and 24% exon skipping in the lef ventricle of the heart, with this repeat dosing regimen also demonstratng accumulaton of exon 51 skipped transcript with successive doses in quadriceps and biceps.</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Upcoming Antcipated Milestones</w:t>
      </w:r>
    </w:p>
    <w:p>
      <w:pPr>
        <w:spacing w:after="0" w:line="252" w:lineRule="exact"/>
        <w:rPr>
          <w:sz w:val="20"/>
          <w:szCs w:val="20"/>
          <w:color w:val="auto"/>
        </w:rPr>
      </w:pPr>
    </w:p>
    <w:p>
      <w:pPr>
        <w:ind w:left="760" w:right="520" w:hanging="378"/>
        <w:spacing w:after="0" w:line="242" w:lineRule="auto"/>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PGN-EDO51: </w:t>
      </w:r>
      <w:r>
        <w:rPr>
          <w:rFonts w:ascii="Calibri" w:cs="Calibri" w:eastAsia="Calibri" w:hAnsi="Calibri"/>
          <w:sz w:val="20"/>
          <w:szCs w:val="20"/>
          <w:color w:val="auto"/>
        </w:rPr>
        <w:t>PepGen antcipates initatng a Phase 2a multple ascending dose (MAD) trial evaluatng PGN-EDO51 in DMD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patents in the frst half of 2023.</w:t>
      </w:r>
    </w:p>
    <w:p>
      <w:pPr>
        <w:spacing w:after="0" w:line="2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PGN-EDODM1: </w:t>
      </w:r>
      <w:r>
        <w:rPr>
          <w:rFonts w:ascii="Calibri" w:cs="Calibri" w:eastAsia="Calibri" w:hAnsi="Calibri"/>
          <w:sz w:val="20"/>
          <w:szCs w:val="20"/>
          <w:color w:val="auto"/>
        </w:rPr>
        <w:t>PepGen antcipates initatng a Phase 1/2 clinical trial in DM1 patents in the frst half of 2023.</w:t>
      </w:r>
    </w:p>
    <w:p>
      <w:pPr>
        <w:spacing w:after="0" w:line="35" w:lineRule="exact"/>
        <w:rPr>
          <w:rFonts w:ascii="Times New Roman" w:cs="Times New Roman" w:eastAsia="Times New Roman" w:hAnsi="Times New Roman"/>
          <w:sz w:val="20"/>
          <w:szCs w:val="20"/>
          <w:color w:val="auto"/>
        </w:rPr>
      </w:pPr>
    </w:p>
    <w:p>
      <w:pPr>
        <w:ind w:left="760" w:right="40" w:hanging="378"/>
        <w:spacing w:after="0" w:line="234" w:lineRule="auto"/>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PGN-EDO53: </w:t>
      </w:r>
      <w:r>
        <w:rPr>
          <w:rFonts w:ascii="Calibri" w:cs="Calibri" w:eastAsia="Calibri" w:hAnsi="Calibri"/>
          <w:sz w:val="20"/>
          <w:szCs w:val="20"/>
          <w:color w:val="auto"/>
        </w:rPr>
        <w:t>PepGen antcipates reportng NHP exon skipping data by the end of 2022 for PGN-EDO53, the Company’s program</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for the treatment of DMD patents who are amenable to an exon 53 skipping approach.</w:t>
      </w:r>
    </w:p>
    <w:p>
      <w:pPr>
        <w:spacing w:after="0" w:line="36" w:lineRule="exact"/>
        <w:rPr>
          <w:rFonts w:ascii="Times New Roman" w:cs="Times New Roman" w:eastAsia="Times New Roman" w:hAnsi="Times New Roman"/>
          <w:sz w:val="20"/>
          <w:szCs w:val="20"/>
          <w:color w:val="auto"/>
        </w:rPr>
      </w:pPr>
    </w:p>
    <w:p>
      <w:pPr>
        <w:jc w:val="both"/>
        <w:ind w:left="760" w:right="320" w:hanging="378"/>
        <w:spacing w:after="0" w:line="242" w:lineRule="auto"/>
        <w:tabs>
          <w:tab w:leader="none" w:pos="760" w:val="left"/>
        </w:tabs>
        <w:numPr>
          <w:ilvl w:val="0"/>
          <w:numId w:val="4"/>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Additonal Pipeline Assets: </w:t>
      </w:r>
      <w:r>
        <w:rPr>
          <w:rFonts w:ascii="Calibri" w:cs="Calibri" w:eastAsia="Calibri" w:hAnsi="Calibri"/>
          <w:sz w:val="20"/>
          <w:szCs w:val="20"/>
          <w:color w:val="auto"/>
        </w:rPr>
        <w:t>PepGen antcipates that it will nominate lead candidates for PGN-EDO45 and PGN-EDO44 by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end of 2022, which target DMD patent populatons amenable to an exon 45 and exon 44 skipping approaches, respectvely.</w:t>
      </w: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Results for the Three Months Ended September 30, 2022</w:t>
      </w:r>
    </w:p>
    <w:p>
      <w:pPr>
        <w:spacing w:after="0" w:line="255"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Cash and cash equivalents </w:t>
      </w:r>
      <w:r>
        <w:rPr>
          <w:rFonts w:ascii="Calibri" w:cs="Calibri" w:eastAsia="Calibri" w:hAnsi="Calibri"/>
          <w:sz w:val="20"/>
          <w:szCs w:val="20"/>
          <w:color w:val="auto"/>
        </w:rPr>
        <w:t>were $195.8 million as of September 30, 2022.</w:t>
      </w:r>
    </w:p>
    <w:p>
      <w:pPr>
        <w:spacing w:after="0" w:line="35" w:lineRule="exact"/>
        <w:rPr>
          <w:rFonts w:ascii="Times New Roman" w:cs="Times New Roman" w:eastAsia="Times New Roman" w:hAnsi="Times New Roman"/>
          <w:sz w:val="20"/>
          <w:szCs w:val="20"/>
          <w:color w:val="auto"/>
        </w:rPr>
      </w:pPr>
    </w:p>
    <w:p>
      <w:pPr>
        <w:ind w:left="760" w:right="200" w:hanging="378"/>
        <w:spacing w:after="0" w:line="234" w:lineRule="auto"/>
        <w:tabs>
          <w:tab w:leader="none" w:pos="760" w:val="left"/>
        </w:tabs>
        <w:numPr>
          <w:ilvl w:val="0"/>
          <w:numId w:val="5"/>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Research and Development expenses </w:t>
      </w:r>
      <w:r>
        <w:rPr>
          <w:rFonts w:ascii="Calibri" w:cs="Calibri" w:eastAsia="Calibri" w:hAnsi="Calibri"/>
          <w:sz w:val="20"/>
          <w:szCs w:val="20"/>
          <w:color w:val="auto"/>
        </w:rPr>
        <w:t>were $16.0 million for the three months ended September 30, 2022, compared to $5.7</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million for the same period in 2021. The increase in research and development expenses was primarily due to increases in</w:t>
      </w:r>
    </w:p>
    <w:p>
      <w:pPr>
        <w:spacing w:after="0" w:line="23" w:lineRule="exact"/>
        <w:rPr>
          <w:rFonts w:ascii="Times New Roman" w:cs="Times New Roman" w:eastAsia="Times New Roman" w:hAnsi="Times New Roman"/>
          <w:sz w:val="20"/>
          <w:szCs w:val="20"/>
          <w:color w:val="auto"/>
        </w:rPr>
      </w:pPr>
    </w:p>
    <w:p>
      <w:pPr>
        <w:ind w:left="760" w:right="860"/>
        <w:spacing w:after="0" w:line="234" w:lineRule="auto"/>
        <w:rPr>
          <w:rFonts w:ascii="Times New Roman" w:cs="Times New Roman" w:eastAsia="Times New Roman" w:hAnsi="Times New Roman"/>
          <w:sz w:val="20"/>
          <w:szCs w:val="20"/>
          <w:color w:val="auto"/>
        </w:rPr>
      </w:pPr>
      <w:r>
        <w:rPr>
          <w:rFonts w:ascii="Calibri" w:cs="Calibri" w:eastAsia="Calibri" w:hAnsi="Calibri"/>
          <w:sz w:val="20"/>
          <w:szCs w:val="20"/>
          <w:color w:val="auto"/>
        </w:rPr>
        <w:t>preclinical, manufacturing and clinical costs associated with our Phase 1 trial for PGN-EDO51, as well as an increase in personnel-related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 w:right="339" w:bottom="1440" w:gutter="0" w:footer="0" w:header="0"/>
        </w:sectPr>
      </w:pPr>
    </w:p>
    <w:bookmarkStart w:id="5" w:name="page6"/>
    <w:bookmarkEnd w:id="5"/>
    <w:p>
      <w:pPr>
        <w:ind w:left="760" w:right="100" w:hanging="378"/>
        <w:spacing w:after="0" w:line="236" w:lineRule="auto"/>
        <w:tabs>
          <w:tab w:leader="none" w:pos="76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General and Administratve expenses </w:t>
      </w:r>
      <w:r>
        <w:rPr>
          <w:rFonts w:ascii="Calibri" w:cs="Calibri" w:eastAsia="Calibri" w:hAnsi="Calibri"/>
          <w:sz w:val="20"/>
          <w:szCs w:val="20"/>
          <w:color w:val="auto"/>
        </w:rPr>
        <w:t>were $3.6 million for the three months ended September 30, 2022, compared to $2.4</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million for the same period in 2021. The increase in general and administratve expenses was primarily due to increased costs to support public company operatons.</w:t>
      </w:r>
    </w:p>
    <w:p>
      <w:pPr>
        <w:spacing w:after="0" w:line="49" w:lineRule="exact"/>
        <w:rPr>
          <w:rFonts w:ascii="Times New Roman" w:cs="Times New Roman" w:eastAsia="Times New Roman" w:hAnsi="Times New Roman"/>
          <w:sz w:val="20"/>
          <w:szCs w:val="20"/>
          <w:color w:val="auto"/>
        </w:rPr>
      </w:pPr>
    </w:p>
    <w:p>
      <w:pPr>
        <w:ind w:left="760" w:right="180" w:hanging="378"/>
        <w:spacing w:after="0" w:line="234" w:lineRule="auto"/>
        <w:tabs>
          <w:tab w:leader="none" w:pos="760" w:val="left"/>
        </w:tabs>
        <w:numPr>
          <w:ilvl w:val="0"/>
          <w:numId w:val="6"/>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 xml:space="preserve">Net loss </w:t>
      </w:r>
      <w:r>
        <w:rPr>
          <w:rFonts w:ascii="Calibri" w:cs="Calibri" w:eastAsia="Calibri" w:hAnsi="Calibri"/>
          <w:sz w:val="20"/>
          <w:szCs w:val="20"/>
          <w:color w:val="auto"/>
        </w:rPr>
        <w:t>was $18.6 million for the three months ended September 30, 2022, compared to $8.1 million for the same period 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2021. PepGen had approximately 23.6 million shares outstanding on September 30, 2022.</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PepGen</w:t>
      </w:r>
    </w:p>
    <w:p>
      <w:pPr>
        <w:spacing w:after="0" w:line="238" w:lineRule="exact"/>
        <w:rPr>
          <w:sz w:val="20"/>
          <w:szCs w:val="20"/>
          <w:color w:val="auto"/>
        </w:rPr>
      </w:pPr>
    </w:p>
    <w:p>
      <w:pPr>
        <w:ind w:right="100"/>
        <w:spacing w:after="0" w:line="239" w:lineRule="auto"/>
        <w:rPr>
          <w:sz w:val="20"/>
          <w:szCs w:val="20"/>
          <w:color w:val="auto"/>
        </w:rPr>
      </w:pPr>
      <w:r>
        <w:rPr>
          <w:rFonts w:ascii="Calibri" w:cs="Calibri" w:eastAsia="Calibri" w:hAnsi="Calibri"/>
          <w:sz w:val="20"/>
          <w:szCs w:val="20"/>
          <w:color w:val="auto"/>
        </w:rPr>
        <w:t>PepGen Inc. is a clinical-stage biotechnology company advancing the next-generaton of oligonucleotde therapies with the goal of transforming the treatment of severe neuromuscular and neurological diseases. PepGen’s Enhanced Delivery Oligonucleotde, or EDO, platorm is founded on over a decade of research and development and leverages cell-penetratng peptdes to improve the uptake and actvity of conjugated oligonucleotde therapeutcs. Using these EDO peptdes, we are generatng a pipeline of oligonucleotde therapeutc candidates that target the root cause of serious diseases.</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225" w:lineRule="exact"/>
        <w:rPr>
          <w:sz w:val="20"/>
          <w:szCs w:val="20"/>
          <w:color w:val="auto"/>
        </w:rPr>
      </w:pPr>
    </w:p>
    <w:p>
      <w:pPr>
        <w:spacing w:after="0" w:line="241" w:lineRule="auto"/>
        <w:rPr>
          <w:sz w:val="20"/>
          <w:szCs w:val="20"/>
          <w:color w:val="auto"/>
        </w:rPr>
      </w:pPr>
      <w:r>
        <w:rPr>
          <w:rFonts w:ascii="Calibri" w:cs="Calibri" w:eastAsia="Calibri" w:hAnsi="Calibri"/>
          <w:sz w:val="20"/>
          <w:szCs w:val="20"/>
          <w:color w:val="auto"/>
        </w:rPr>
        <w:t>This press release contains forward-looking statements within the meaning of the Private Securites Litgaton Reform Act of 1995, as amended. These statements may be identfed by words such as “aims,” “antcipates,” “believes,” “could,” “estmates,” “expects,” “forecasts,” “goal,” “intends,” “may,” “plans,” “possible,” “potental,” “seeks,” “will,” and variatons of these words or similar expressions that are intended to identfy forward-looking statements. Any such statements in this press release that are not statements of historical fact may be deemed to be forward-looking statements. These forward-looking statements include, without limitaton, statements about our clinical and preclinical programs, product candidates, including their planned development and therapeutc potental, plans for future development and clinical trials in our programs, including the planned initaton of a Phase 2a MAD trial of PGN-EDO51 in DMD patents, achievement of milestones, and corporate and clinical/preclinical strategies.</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color w:val="auto"/>
        </w:rPr>
        <w:t>Any forward-looking statements in this press release are based on current expectatons, estmates and projectons only as of the date of this release and are subject to a number of risks and uncertaintes that could cause actual results to difer materially and adversely from those set forth in or implied by such forward-looking statements. These risks and uncertaintes include, but are not limited to that we may fail to successfully complete preclinical studies and clinical trials of our product candidates or to obtain regulatory approval for marketng of such products; inital clinical trial results for one or more of our product candidates may not be predictve of future trial results for such candidates; our product candidates may not be safe and efectve; we may experience delays in enrolling or completng our clinical trials or incur greater than antcipated expenses in our research and development and other actvites; there may be delays in regulatory clearance or changes in regulatory framework that are out of our control; we may not be able to nominate new drug candidates within the estmated tmeframes; our estmaton of addressable markets of our product candidates may be inaccurate; we may need additonal funding before the end of our expected cash runway and may fail to tmely raise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81280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2" w:right="439" w:bottom="1440" w:gutter="0" w:footer="0" w:header="0"/>
        </w:sectPr>
      </w:pPr>
    </w:p>
    <w:bookmarkStart w:id="6" w:name="page7"/>
    <w:bookmarkEnd w:id="6"/>
    <w:p>
      <w:pPr>
        <w:spacing w:after="0" w:line="239" w:lineRule="auto"/>
        <w:rPr>
          <w:sz w:val="20"/>
          <w:szCs w:val="20"/>
          <w:color w:val="auto"/>
        </w:rPr>
      </w:pPr>
      <w:r>
        <w:rPr>
          <w:rFonts w:ascii="Calibri" w:cs="Calibri" w:eastAsia="Calibri" w:hAnsi="Calibri"/>
          <w:sz w:val="20"/>
          <w:szCs w:val="20"/>
          <w:color w:val="auto"/>
        </w:rPr>
        <w:t>additonal required funding; more efcient compettors or more efectve competng treatments may emerge; we may be involved in disputes surrounding the use of our intellectual property crucial to our success; we may not be able to atract and retain key employees and qualifed personnel; earlier-stage trial results may not be predictve of later stage trial outcomes; and we are dependent on third partes for some or all aspects of our product manufacturing, research and preclinical and clinical testng. Additonal risks concerning PepGen’s programs and operatons are described in its most recent quarterly report on Form 10-Q on fle with the SEC. PepGen explicitly disclaims any obligaton to update any forward-looking statements except to the extent required by law.</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Contact</w:t>
      </w:r>
    </w:p>
    <w:p>
      <w:pPr>
        <w:spacing w:after="0" w:line="238" w:lineRule="auto"/>
        <w:rPr>
          <w:sz w:val="20"/>
          <w:szCs w:val="20"/>
          <w:color w:val="auto"/>
        </w:rPr>
      </w:pPr>
      <w:r>
        <w:rPr>
          <w:rFonts w:ascii="Calibri" w:cs="Calibri" w:eastAsia="Calibri" w:hAnsi="Calibri"/>
          <w:sz w:val="20"/>
          <w:szCs w:val="20"/>
          <w:color w:val="auto"/>
        </w:rPr>
        <w:t>Laurence Wats</w:t>
      </w:r>
    </w:p>
    <w:p>
      <w:pPr>
        <w:spacing w:after="0"/>
        <w:rPr>
          <w:sz w:val="20"/>
          <w:szCs w:val="20"/>
          <w:color w:val="auto"/>
        </w:rPr>
      </w:pPr>
      <w:r>
        <w:rPr>
          <w:rFonts w:ascii="Calibri" w:cs="Calibri" w:eastAsia="Calibri" w:hAnsi="Calibri"/>
          <w:sz w:val="20"/>
          <w:szCs w:val="20"/>
          <w:color w:val="auto"/>
        </w:rPr>
        <w:t>Gilmartn Group</w:t>
      </w:r>
    </w:p>
    <w:p>
      <w:pPr>
        <w:spacing w:after="0" w:line="238" w:lineRule="auto"/>
        <w:rPr>
          <w:sz w:val="20"/>
          <w:szCs w:val="20"/>
          <w:color w:val="auto"/>
        </w:rPr>
      </w:pPr>
      <w:r>
        <w:rPr>
          <w:rFonts w:ascii="Calibri" w:cs="Calibri" w:eastAsia="Calibri" w:hAnsi="Calibri"/>
          <w:sz w:val="20"/>
          <w:szCs w:val="20"/>
          <w:color w:val="auto"/>
        </w:rPr>
        <w:t>Laurence@gilmartnir.com</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38" w:lineRule="auto"/>
        <w:rPr>
          <w:sz w:val="20"/>
          <w:szCs w:val="20"/>
          <w:color w:val="auto"/>
        </w:rPr>
      </w:pPr>
      <w:r>
        <w:rPr>
          <w:rFonts w:ascii="Calibri" w:cs="Calibri" w:eastAsia="Calibri" w:hAnsi="Calibri"/>
          <w:sz w:val="20"/>
          <w:szCs w:val="20"/>
          <w:color w:val="auto"/>
        </w:rPr>
        <w:t>Gwendolyn Schanker</w:t>
      </w:r>
    </w:p>
    <w:p>
      <w:pPr>
        <w:spacing w:after="0"/>
        <w:rPr>
          <w:sz w:val="20"/>
          <w:szCs w:val="20"/>
          <w:color w:val="auto"/>
        </w:rPr>
      </w:pPr>
      <w:r>
        <w:rPr>
          <w:rFonts w:ascii="Calibri" w:cs="Calibri" w:eastAsia="Calibri" w:hAnsi="Calibri"/>
          <w:sz w:val="20"/>
          <w:szCs w:val="20"/>
          <w:color w:val="auto"/>
        </w:rPr>
        <w:t>LifeSci Communicatons</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gschanker@lifescicomms.com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Condensed Consolidated Statements of Operatons</w:t>
      </w:r>
    </w:p>
    <w:p>
      <w:pPr>
        <w:jc w:val="center"/>
        <w:ind w:right="-39"/>
        <w:spacing w:after="0" w:line="238" w:lineRule="auto"/>
        <w:rPr>
          <w:sz w:val="20"/>
          <w:szCs w:val="20"/>
          <w:color w:val="auto"/>
        </w:rPr>
      </w:pPr>
      <w:r>
        <w:rPr>
          <w:rFonts w:ascii="Calibri" w:cs="Calibri" w:eastAsia="Calibri" w:hAnsi="Calibri"/>
          <w:sz w:val="20"/>
          <w:szCs w:val="20"/>
          <w:b w:val="1"/>
          <w:bCs w:val="1"/>
          <w:color w:val="auto"/>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7" w:name="page8"/>
    <w:bookmarkEnd w:id="7"/>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5584825" cy="231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84825" cy="231140"/>
                    </a:xfrm>
                    <a:prstGeom prst="rect">
                      <a:avLst/>
                    </a:prstGeom>
                    <a:noFill/>
                  </pic:spPr>
                </pic:pic>
              </a:graphicData>
            </a:graphic>
          </wp:anchor>
        </w:drawing>
      </w:r>
    </w:p>
    <w:p>
      <w:pPr>
        <w:spacing w:after="0" w:line="9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before income tax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144" w:lineRule="exact"/>
        <w:rPr>
          <w:sz w:val="20"/>
          <w:szCs w:val="20"/>
          <w:color w:val="auto"/>
        </w:rPr>
      </w:pPr>
    </w:p>
    <w:p>
      <w:pPr>
        <w:ind w:right="220"/>
        <w:spacing w:after="0" w:line="438" w:lineRule="auto"/>
        <w:rPr>
          <w:sz w:val="20"/>
          <w:szCs w:val="20"/>
          <w:color w:val="auto"/>
        </w:rPr>
      </w:pPr>
      <w:r>
        <w:rPr>
          <w:rFonts w:ascii="Times New Roman" w:cs="Times New Roman" w:eastAsia="Times New Roman" w:hAnsi="Times New Roman"/>
          <w:sz w:val="18"/>
          <w:szCs w:val="18"/>
          <w:color w:val="auto"/>
        </w:rPr>
        <w:t>Net loss per share, basic and diluted Weighted-average common shares outstanding, basic and diluted</w:t>
      </w:r>
    </w:p>
    <w:p>
      <w:pPr>
        <w:spacing w:after="0" w:line="20" w:lineRule="exact"/>
        <w:rPr>
          <w:sz w:val="20"/>
          <w:szCs w:val="20"/>
          <w:color w:val="auto"/>
        </w:rPr>
      </w:pPr>
      <w:r>
        <w:rPr>
          <w:sz w:val="20"/>
          <w:szCs w:val="20"/>
          <w:color w:val="auto"/>
        </w:rPr>
        <w:br w:type="column"/>
      </w: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35058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642"/>
        </w:trPr>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15,964</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5,712</w:t>
            </w:r>
          </w:p>
        </w:tc>
      </w:tr>
      <w:tr>
        <w:trPr>
          <w:trHeight w:val="324"/>
        </w:trPr>
        <w:tc>
          <w:tcPr>
            <w:tcW w:w="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3,590</w:t>
            </w:r>
          </w:p>
        </w:tc>
        <w:tc>
          <w:tcPr>
            <w:tcW w:w="3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2,366</w:t>
            </w:r>
          </w:p>
        </w:tc>
      </w:tr>
      <w:tr>
        <w:trPr>
          <w:trHeight w:val="290"/>
        </w:trPr>
        <w:tc>
          <w:tcPr>
            <w:tcW w:w="260" w:type="dxa"/>
            <w:vAlign w:val="bottom"/>
          </w:tcPr>
          <w:p>
            <w:pPr>
              <w:spacing w:after="0"/>
              <w:rPr>
                <w:sz w:val="24"/>
                <w:szCs w:val="24"/>
                <w:color w:val="auto"/>
              </w:rPr>
            </w:pPr>
          </w:p>
        </w:tc>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19,554</w:t>
            </w:r>
          </w:p>
        </w:tc>
        <w:tc>
          <w:tcPr>
            <w:tcW w:w="32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8,078</w:t>
            </w:r>
          </w:p>
        </w:tc>
      </w:tr>
      <w:tr>
        <w:trPr>
          <w:trHeight w:val="318"/>
        </w:trPr>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(19,554)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(8,078)</w:t>
            </w:r>
          </w:p>
        </w:tc>
      </w:tr>
      <w:tr>
        <w:trPr>
          <w:trHeight w:val="648"/>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304"/>
        </w:trPr>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947</w:t>
            </w:r>
          </w:p>
        </w:tc>
        <w:tc>
          <w:tcPr>
            <w:tcW w:w="320" w:type="dxa"/>
            <w:vAlign w:val="bottom"/>
          </w:tcPr>
          <w:p>
            <w:pPr>
              <w:spacing w:after="0"/>
              <w:rPr>
                <w:sz w:val="24"/>
                <w:szCs w:val="24"/>
                <w:color w:val="auto"/>
              </w:rPr>
            </w:pPr>
          </w:p>
        </w:tc>
        <w:tc>
          <w:tcPr>
            <w:tcW w:w="1020" w:type="dxa"/>
            <w:vAlign w:val="bottom"/>
            <w:tcBorders>
              <w:bottom w:val="single" w:sz="8" w:color="auto"/>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r>
      <w:tr>
        <w:trPr>
          <w:trHeight w:val="311"/>
        </w:trPr>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(18,607)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(8,112)</w:t>
            </w:r>
          </w:p>
        </w:tc>
      </w:tr>
      <w:tr>
        <w:trPr>
          <w:trHeight w:val="324"/>
        </w:trPr>
        <w:tc>
          <w:tcPr>
            <w:tcW w:w="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260" w:type="dxa"/>
            <w:vAlign w:val="bottom"/>
          </w:tcPr>
          <w:p>
            <w:pPr>
              <w:spacing w:after="0"/>
              <w:rPr>
                <w:sz w:val="24"/>
                <w:szCs w:val="24"/>
                <w:color w:val="auto"/>
              </w:rPr>
            </w:pPr>
          </w:p>
        </w:tc>
        <w:tc>
          <w:tcPr>
            <w:tcW w:w="10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(18,607)</w:t>
            </w:r>
          </w:p>
        </w:tc>
        <w:tc>
          <w:tcPr>
            <w:tcW w:w="32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(8,112)</w:t>
            </w:r>
          </w:p>
        </w:tc>
      </w:tr>
      <w:tr>
        <w:trPr>
          <w:trHeight w:val="20"/>
        </w:trPr>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32"/>
        </w:trPr>
        <w:tc>
          <w:tcPr>
            <w:tcW w:w="12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(9.07)</w:t>
            </w:r>
          </w:p>
        </w:tc>
      </w:tr>
      <w:tr>
        <w:trPr>
          <w:trHeight w:val="310"/>
        </w:trPr>
        <w:tc>
          <w:tcPr>
            <w:tcW w:w="26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23,562,395</w:t>
            </w:r>
          </w:p>
        </w:tc>
        <w:tc>
          <w:tcPr>
            <w:tcW w:w="3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894,060</w:t>
            </w:r>
          </w:p>
        </w:tc>
      </w:tr>
      <w:tr>
        <w:trPr>
          <w:trHeight w:val="20"/>
        </w:trPr>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-2931160</wp:posOffset>
            </wp:positionV>
            <wp:extent cx="713232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-2519680</wp:posOffset>
            </wp:positionV>
            <wp:extent cx="7132320"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-1696720</wp:posOffset>
            </wp:positionV>
            <wp:extent cx="71323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-873760</wp:posOffset>
            </wp:positionV>
            <wp:extent cx="713232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-445135</wp:posOffset>
            </wp:positionV>
            <wp:extent cx="71323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4900" w:space="720"/>
            <w:col w:w="5520"/>
          </w:cols>
          <w:pgMar w:left="420" w:top="7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b w:val="1"/>
          <w:bCs w:val="1"/>
          <w:color w:val="auto"/>
        </w:rPr>
        <w:t>Condensed Consolidated Balance Sheets</w:t>
      </w:r>
    </w:p>
    <w:p>
      <w:pPr>
        <w:jc w:val="center"/>
        <w:ind w:right="80"/>
        <w:spacing w:after="0" w:line="238" w:lineRule="auto"/>
        <w:rPr>
          <w:sz w:val="20"/>
          <w:szCs w:val="20"/>
          <w:color w:val="auto"/>
        </w:rPr>
      </w:pPr>
      <w:r>
        <w:rPr>
          <w:rFonts w:ascii="Calibri" w:cs="Calibri" w:eastAsia="Calibri" w:hAnsi="Calibri"/>
          <w:sz w:val="20"/>
          <w:szCs w:val="20"/>
          <w:b w:val="1"/>
          <w:bCs w:val="1"/>
          <w:color w:val="auto"/>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214630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749"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5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7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assets:</w:t>
            </w: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195,783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132,895</w:t>
            </w: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receivables</w:t>
            </w:r>
          </w:p>
        </w:tc>
        <w:tc>
          <w:tcPr>
            <w:tcW w:w="6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3,881</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4,744</w:t>
            </w:r>
          </w:p>
        </w:tc>
      </w:tr>
      <w:tr>
        <w:trPr>
          <w:trHeight w:val="216"/>
        </w:trPr>
        <w:tc>
          <w:tcPr>
            <w:tcW w:w="6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4,584</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2,347</w:t>
            </w:r>
          </w:p>
        </w:tc>
      </w:tr>
      <w:tr>
        <w:trPr>
          <w:trHeight w:val="209"/>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204,248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139,986</w:t>
            </w:r>
          </w:p>
        </w:tc>
      </w:tr>
      <w:tr>
        <w:trPr>
          <w:trHeight w:val="223"/>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2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636</w:t>
            </w:r>
          </w:p>
        </w:tc>
      </w:tr>
      <w:tr>
        <w:trPr>
          <w:trHeight w:val="229"/>
        </w:trPr>
        <w:tc>
          <w:tcPr>
            <w:tcW w:w="67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1,473</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3,019</w:t>
            </w:r>
          </w:p>
        </w:tc>
      </w:tr>
      <w:tr>
        <w:trPr>
          <w:trHeight w:val="250"/>
        </w:trPr>
        <w:tc>
          <w:tcPr>
            <w:tcW w:w="6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208,461</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143,641</w:t>
            </w:r>
          </w:p>
        </w:tc>
      </w:tr>
      <w:tr>
        <w:trPr>
          <w:trHeight w:val="221"/>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6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2"/>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liabilities:</w:t>
            </w:r>
          </w:p>
        </w:tc>
        <w:tc>
          <w:tcPr>
            <w:tcW w:w="62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4,622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3,240</w:t>
            </w:r>
          </w:p>
        </w:tc>
      </w:tr>
      <w:tr>
        <w:trPr>
          <w:trHeight w:val="216"/>
        </w:trPr>
        <w:tc>
          <w:tcPr>
            <w:tcW w:w="6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Accrued expenses</w:t>
            </w:r>
          </w:p>
        </w:tc>
        <w:tc>
          <w:tcPr>
            <w:tcW w:w="6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10,897</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7,081</w:t>
            </w:r>
          </w:p>
        </w:tc>
      </w:tr>
      <w:tr>
        <w:trPr>
          <w:trHeight w:val="223"/>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15,519</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10,321</w:t>
            </w:r>
          </w:p>
        </w:tc>
      </w:tr>
      <w:tr>
        <w:trPr>
          <w:trHeight w:val="216"/>
        </w:trPr>
        <w:tc>
          <w:tcPr>
            <w:tcW w:w="6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6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226</w:t>
            </w:r>
          </w:p>
        </w:tc>
      </w:tr>
      <w:tr>
        <w:trPr>
          <w:trHeight w:val="209"/>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15,519</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10,547</w:t>
            </w:r>
          </w:p>
        </w:tc>
      </w:tr>
      <w:tr>
        <w:trPr>
          <w:trHeight w:val="223"/>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6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29"/>
        </w:trPr>
        <w:tc>
          <w:tcPr>
            <w:tcW w:w="6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6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165,176</w:t>
            </w:r>
          </w:p>
        </w:tc>
      </w:tr>
      <w:tr>
        <w:trPr>
          <w:trHeight w:val="229"/>
        </w:trPr>
        <w:tc>
          <w:tcPr>
            <w:tcW w:w="6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6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0"/>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Common stock</w:t>
            </w:r>
          </w:p>
        </w:tc>
        <w:tc>
          <w:tcPr>
            <w:tcW w:w="620" w:type="dxa"/>
            <w:vAlign w:val="bottom"/>
          </w:tcPr>
          <w:p>
            <w:pPr>
              <w:spacing w:after="0"/>
              <w:rPr>
                <w:sz w:val="19"/>
                <w:szCs w:val="19"/>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280,990</w:t>
            </w: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1,653</w:t>
            </w:r>
          </w:p>
        </w:tc>
      </w:tr>
      <w:tr>
        <w:trPr>
          <w:trHeight w:val="229"/>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620" w:type="dxa"/>
            <w:vAlign w:val="bottom"/>
          </w:tcPr>
          <w:p>
            <w:pPr>
              <w:spacing w:after="0"/>
              <w:rPr>
                <w:sz w:val="19"/>
                <w:szCs w:val="19"/>
                <w:color w:val="auto"/>
              </w:rPr>
            </w:pPr>
          </w:p>
        </w:tc>
        <w:tc>
          <w:tcPr>
            <w:tcW w:w="15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7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(87,920)</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(33,752)</w:t>
            </w:r>
          </w:p>
        </w:tc>
      </w:tr>
      <w:tr>
        <w:trPr>
          <w:trHeight w:val="223"/>
        </w:trPr>
        <w:tc>
          <w:tcPr>
            <w:tcW w:w="6700" w:type="dxa"/>
            <w:vAlign w:val="bottom"/>
            <w:tcBorders>
              <w:bottom w:val="single" w:sz="8" w:color="CFF0FC"/>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6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192,942</w:t>
            </w:r>
          </w:p>
        </w:tc>
        <w:tc>
          <w:tcPr>
            <w:tcW w:w="28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(32,082)</w:t>
            </w:r>
          </w:p>
        </w:tc>
      </w:tr>
      <w:tr>
        <w:trPr>
          <w:trHeight w:val="250"/>
        </w:trPr>
        <w:tc>
          <w:tcPr>
            <w:tcW w:w="67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208,461</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143,641</w:t>
            </w:r>
          </w:p>
        </w:tc>
      </w:tr>
      <w:tr>
        <w:trPr>
          <w:trHeight w:val="352"/>
        </w:trPr>
        <w:tc>
          <w:tcPr>
            <w:tcW w:w="67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-3230880</wp:posOffset>
            </wp:positionV>
            <wp:extent cx="179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-2639695</wp:posOffset>
            </wp:positionV>
            <wp:extent cx="179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-2622550</wp:posOffset>
            </wp:positionV>
            <wp:extent cx="179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-2785745</wp:posOffset>
            </wp:positionV>
            <wp:extent cx="1797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-2030730</wp:posOffset>
            </wp:positionV>
            <wp:extent cx="179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-1739265</wp:posOffset>
            </wp:positionV>
            <wp:extent cx="1797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-573405</wp:posOffset>
            </wp:positionV>
            <wp:extent cx="1797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-273685</wp:posOffset>
            </wp:positionV>
            <wp:extent cx="1797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-256540</wp:posOffset>
            </wp:positionV>
            <wp:extent cx="1797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-419735</wp:posOffset>
            </wp:positionV>
            <wp:extent cx="1797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2022-11-10T07:18:48Z</dcterms:created>
  <dcterms:modified xsi:type="dcterms:W3CDTF">2022-11-10T07:18:48Z</dcterms:modified>
</cp:coreProperties>
</file>